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EF8FA" w14:textId="3EAEEB4C" w:rsidR="00566E7D" w:rsidRPr="001220B2" w:rsidRDefault="00B74C36" w:rsidP="00566E7D">
      <w:pPr>
        <w:pStyle w:val="Heading1"/>
      </w:pPr>
      <w:r>
        <w:t>Νομοθεσίες</w:t>
      </w:r>
      <w:r w:rsidR="00424F65">
        <w:t xml:space="preserve"> και</w:t>
      </w:r>
      <w:r w:rsidR="00C11377">
        <w:t xml:space="preserve"> </w:t>
      </w:r>
      <w:r w:rsidR="00424F65">
        <w:t xml:space="preserve">Τάσεις </w:t>
      </w:r>
      <w:r w:rsidR="00C11377">
        <w:t xml:space="preserve">- </w:t>
      </w:r>
      <w:r w:rsidR="00E16050">
        <w:t>Έκδοση 202</w:t>
      </w:r>
      <w:r w:rsidR="006F3110">
        <w:t>3</w:t>
      </w:r>
    </w:p>
    <w:p w14:paraId="13C26A9C" w14:textId="676770BA" w:rsidR="00AC643D" w:rsidRDefault="00AC643D" w:rsidP="00152F29"/>
    <w:p w14:paraId="13734B47" w14:textId="1D987F49" w:rsidR="00F94861" w:rsidRPr="00220906" w:rsidRDefault="008A2996" w:rsidP="00941D56">
      <w:pPr>
        <w:jc w:val="both"/>
      </w:pPr>
      <w:r>
        <w:t>Το πρόγραμμα της ΕΕ για την πράσινη μετάβαση και την τελική απεξάρτηση από τους υδρογονάνθρακες</w:t>
      </w:r>
      <w:r w:rsidR="006F29A2" w:rsidRPr="006F29A2">
        <w:t>,</w:t>
      </w:r>
      <w:r>
        <w:t xml:space="preserve"> </w:t>
      </w:r>
      <w:proofErr w:type="spellStart"/>
      <w:r>
        <w:t>απανθρακοποίηση</w:t>
      </w:r>
      <w:proofErr w:type="spellEnd"/>
      <w:r w:rsidR="006F29A2" w:rsidRPr="006F29A2">
        <w:t>,</w:t>
      </w:r>
      <w:r>
        <w:t xml:space="preserve"> είναι ήδη σε εξέλιξη. Όροι όπως</w:t>
      </w:r>
      <w:r w:rsidR="00220906" w:rsidRPr="00220906">
        <w:t>:</w:t>
      </w:r>
      <w:r>
        <w:t xml:space="preserve"> Πράσινη συμφωνία, </w:t>
      </w:r>
      <w:r>
        <w:rPr>
          <w:lang w:val="en-GB"/>
        </w:rPr>
        <w:t>Fit</w:t>
      </w:r>
      <w:r w:rsidRPr="008A2996">
        <w:t xml:space="preserve"> </w:t>
      </w:r>
      <w:r>
        <w:rPr>
          <w:lang w:val="en-GB"/>
        </w:rPr>
        <w:t>for</w:t>
      </w:r>
      <w:r w:rsidRPr="008A2996">
        <w:t xml:space="preserve"> 55</w:t>
      </w:r>
      <w:r>
        <w:t xml:space="preserve"> και μια ολόκληρη λίστα από κανονισμούς και οδηγίες που επιχειρούν να πραγματοποιήσουν αυτή τη μετάβαση είναι για πολλούς από εμάς καθημερινότητα. Το παρόν επαναλαμβανόμενο άρθρο έχει σαν στόχο να φέρνει στο προσκήνιο τις νομοθεσίες που επηρεάζουν ή θα επηρεάσουν το</w:t>
      </w:r>
      <w:r w:rsidR="00307578">
        <w:t>ν</w:t>
      </w:r>
      <w:r>
        <w:t xml:space="preserve"> κλάδ</w:t>
      </w:r>
      <w:r w:rsidR="00307578">
        <w:t>ο</w:t>
      </w:r>
      <w:r>
        <w:t xml:space="preserve"> της ψύξης, κλιματισμού και αντλιών θερμότητας και να ενημερώνει </w:t>
      </w:r>
      <w:r w:rsidR="00AA26A9">
        <w:t xml:space="preserve">με </w:t>
      </w:r>
      <w:r w:rsidR="006B13A1">
        <w:t xml:space="preserve">απλό και </w:t>
      </w:r>
      <w:r w:rsidR="00AA26A9">
        <w:t xml:space="preserve">σύντομο τρόπο </w:t>
      </w:r>
      <w:r>
        <w:t xml:space="preserve">για τις τάσεις που θα επικρατήσουν στην αγορά ως </w:t>
      </w:r>
      <w:r w:rsidR="00220906">
        <w:t>συνέπεια</w:t>
      </w:r>
      <w:r>
        <w:t xml:space="preserve"> των νόμων αυτών.</w:t>
      </w:r>
      <w:r w:rsidR="00B42B57">
        <w:rPr>
          <w:noProof/>
        </w:rPr>
        <w:drawing>
          <wp:anchor distT="0" distB="0" distL="144145" distR="144145" simplePos="0" relativeHeight="251658240" behindDoc="1" locked="1" layoutInCell="1" allowOverlap="1" wp14:anchorId="6C87A06C" wp14:editId="3DBF03D4">
            <wp:simplePos x="0" y="0"/>
            <wp:positionH relativeFrom="column">
              <wp:posOffset>3810</wp:posOffset>
            </wp:positionH>
            <wp:positionV relativeFrom="page">
              <wp:posOffset>1506855</wp:posOffset>
            </wp:positionV>
            <wp:extent cx="1155700" cy="1149985"/>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8" cstate="print">
                      <a:extLst>
                        <a:ext uri="{28A0092B-C50C-407E-A947-70E740481C1C}">
                          <a14:useLocalDpi xmlns:a14="http://schemas.microsoft.com/office/drawing/2010/main" val="0"/>
                        </a:ext>
                      </a:extLst>
                    </a:blip>
                    <a:srcRect l="6554" t="7373" r="6608" b="6199"/>
                    <a:stretch/>
                  </pic:blipFill>
                  <pic:spPr bwMode="auto">
                    <a:xfrm>
                      <a:off x="0" y="0"/>
                      <a:ext cx="1155700" cy="11499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1F36BA7" w14:textId="72E5893D" w:rsidR="00F94861" w:rsidRPr="002F3BD9" w:rsidRDefault="00F94861" w:rsidP="00941D56">
      <w:pPr>
        <w:jc w:val="both"/>
      </w:pPr>
    </w:p>
    <w:p w14:paraId="2BDF98FD" w14:textId="77777777" w:rsidR="003E2E0D" w:rsidRPr="005C1F84" w:rsidRDefault="003E2E0D" w:rsidP="00B04135">
      <w:pPr>
        <w:pStyle w:val="Heading2"/>
      </w:pPr>
    </w:p>
    <w:p w14:paraId="666B4C12" w14:textId="4A4A9FC1" w:rsidR="00B611F9" w:rsidRPr="003227E9" w:rsidRDefault="00B04135" w:rsidP="00B04135">
      <w:pPr>
        <w:pStyle w:val="Heading2"/>
      </w:pPr>
      <w:r>
        <w:rPr>
          <w:lang w:val="en-GB"/>
        </w:rPr>
        <w:t>EPBD</w:t>
      </w:r>
    </w:p>
    <w:p w14:paraId="31BD7D5D" w14:textId="77777777" w:rsidR="001A63E4" w:rsidRDefault="000E4094" w:rsidP="00941D56">
      <w:pPr>
        <w:jc w:val="both"/>
      </w:pPr>
      <w:r>
        <w:t>Οι διαπραγματεύσεις και διαβουλεύσεις για την ο</w:t>
      </w:r>
      <w:r w:rsidR="00921412">
        <w:t xml:space="preserve">δηγία </w:t>
      </w:r>
      <w:r w:rsidR="00D416E9">
        <w:t>Ενεργειακή</w:t>
      </w:r>
      <w:r>
        <w:t>ς</w:t>
      </w:r>
      <w:r w:rsidR="00D416E9">
        <w:t xml:space="preserve"> Απόδοση</w:t>
      </w:r>
      <w:r>
        <w:t>ς</w:t>
      </w:r>
      <w:r w:rsidR="00D416E9">
        <w:t xml:space="preserve"> Κτ</w:t>
      </w:r>
      <w:r w:rsidR="002C0078">
        <w:t>ι</w:t>
      </w:r>
      <w:r w:rsidR="00D416E9">
        <w:t>ρίων</w:t>
      </w:r>
      <w:r w:rsidR="00DB0083">
        <w:t xml:space="preserve"> (</w:t>
      </w:r>
      <w:r w:rsidR="00DB0083">
        <w:rPr>
          <w:lang w:val="en-GB"/>
        </w:rPr>
        <w:t>EPBD</w:t>
      </w:r>
      <w:r w:rsidR="00DB0083" w:rsidRPr="00DB0083">
        <w:t>)</w:t>
      </w:r>
      <w:r>
        <w:t xml:space="preserve"> συνεχίζονται</w:t>
      </w:r>
      <w:r w:rsidR="00921412">
        <w:t xml:space="preserve">. Με τα Ευρωπαϊκά κτίρια να καταναλώνουν το 40% της ενέργειας και να παράγουν το 35% των εκπομπών αερίων του θερμοκηπίου, η αναθεώρησή της </w:t>
      </w:r>
      <w:r w:rsidR="00921412">
        <w:rPr>
          <w:lang w:val="en-GB"/>
        </w:rPr>
        <w:t>EPBD</w:t>
      </w:r>
      <w:r w:rsidR="00921412" w:rsidRPr="00921412">
        <w:t xml:space="preserve"> </w:t>
      </w:r>
      <w:r w:rsidR="00921412">
        <w:t>κρίνεται ως επιτακτική ανάγκη ώστε να συγκλίνει με τους στόχους της Πράσινης Συμφωνίας</w:t>
      </w:r>
      <w:r w:rsidR="004D409F">
        <w:t xml:space="preserve"> και αναμένεται να φέρει πολύ μεγάλες αλλαγές σε νέα αλλά και υφιστάμενα κτήρια</w:t>
      </w:r>
      <w:r w:rsidR="00921412">
        <w:t xml:space="preserve">. </w:t>
      </w:r>
    </w:p>
    <w:p w14:paraId="225EA5F7" w14:textId="77777777" w:rsidR="001A63E4" w:rsidRDefault="001A63E4" w:rsidP="00941D56">
      <w:pPr>
        <w:jc w:val="both"/>
      </w:pPr>
    </w:p>
    <w:p w14:paraId="5D0A390A" w14:textId="3CAFF4C2" w:rsidR="00D416E9" w:rsidRDefault="00A715AE" w:rsidP="00941D56">
      <w:pPr>
        <w:jc w:val="both"/>
      </w:pPr>
      <w:r>
        <w:t>Μερικοί</w:t>
      </w:r>
      <w:r w:rsidR="00B20D87">
        <w:t xml:space="preserve"> από τους</w:t>
      </w:r>
      <w:r w:rsidR="00645B21">
        <w:t xml:space="preserve"> πρόσφατα αναθεωρημένους </w:t>
      </w:r>
      <w:r w:rsidR="00B20D87">
        <w:t>στόχους που θέτει η οδηγία είναι:</w:t>
      </w:r>
    </w:p>
    <w:p w14:paraId="7AD50145" w14:textId="16C7E48D" w:rsidR="00645B21" w:rsidRDefault="001A63E4" w:rsidP="00645B21">
      <w:pPr>
        <w:pStyle w:val="ListParagraph"/>
        <w:numPr>
          <w:ilvl w:val="0"/>
          <w:numId w:val="15"/>
        </w:numPr>
        <w:jc w:val="both"/>
      </w:pPr>
      <w:r>
        <w:t>Ε</w:t>
      </w:r>
      <w:r w:rsidR="00645B21">
        <w:t xml:space="preserve">λάχιστες απαιτούμενες ενεργειακές επιδόσεις για κάθε κτίριο ανάλογα με την </w:t>
      </w:r>
      <w:r w:rsidR="00EB47E9">
        <w:t>κλιματική</w:t>
      </w:r>
      <w:r w:rsidR="00645B21">
        <w:t xml:space="preserve"> ζώνη του στην Ευρώπη και τη γενική του χρή</w:t>
      </w:r>
      <w:r w:rsidR="00645B21" w:rsidRPr="00645B21">
        <w:t xml:space="preserve">ση. Για την ενεργειακή </w:t>
      </w:r>
      <w:r>
        <w:t>ε</w:t>
      </w:r>
      <w:r w:rsidR="00645B21" w:rsidRPr="00645B21">
        <w:t>π</w:t>
      </w:r>
      <w:r>
        <w:t>ί</w:t>
      </w:r>
      <w:r w:rsidR="00645B21" w:rsidRPr="00645B21">
        <w:t>δοση ενός κτιρίου δεν θα λαμβάνεται υπόψη το κάθε εγκατεστημένο σύστημα ή εξάρτημα ξεχωριστά αλλά όλα μαζί ως μέρος του συνολικού κτιρίου.</w:t>
      </w:r>
    </w:p>
    <w:p w14:paraId="4313FB2B" w14:textId="2F8B2184" w:rsidR="001A63E4" w:rsidRPr="00EB47E9" w:rsidRDefault="00EB47E9" w:rsidP="00645B21">
      <w:pPr>
        <w:pStyle w:val="ListParagraph"/>
        <w:numPr>
          <w:ilvl w:val="0"/>
          <w:numId w:val="15"/>
        </w:numPr>
        <w:jc w:val="both"/>
      </w:pPr>
      <w:r>
        <w:t>Οι κλιματικές ζώνες χωρίζονται σε</w:t>
      </w:r>
      <w:r w:rsidR="00042881">
        <w:t>:</w:t>
      </w:r>
      <w:r>
        <w:t xml:space="preserve"> Μεσογειακή, </w:t>
      </w:r>
      <w:proofErr w:type="spellStart"/>
      <w:r>
        <w:t>Ωκεανική</w:t>
      </w:r>
      <w:proofErr w:type="spellEnd"/>
      <w:r>
        <w:t>, Ηπειρωτική και Σκανδιναβική</w:t>
      </w:r>
      <w:r w:rsidR="00A0294E">
        <w:t>, με τις χώρες μέλη να μπορούν να χωρίσουν σε παρόμοιες ζώνες τμήματα της επικράτειάς τους.</w:t>
      </w:r>
    </w:p>
    <w:p w14:paraId="3EC93EDC" w14:textId="6D9019D5" w:rsidR="00EB47E9" w:rsidRDefault="00EB47E9" w:rsidP="00645B21">
      <w:pPr>
        <w:pStyle w:val="ListParagraph"/>
        <w:numPr>
          <w:ilvl w:val="0"/>
          <w:numId w:val="15"/>
        </w:numPr>
        <w:jc w:val="both"/>
      </w:pPr>
      <w:r>
        <w:t>Οι χρήσεις των κτιρίων χωρίζονται σε κατοικί</w:t>
      </w:r>
      <w:r w:rsidR="00042881">
        <w:t>ες</w:t>
      </w:r>
      <w:r>
        <w:t>, γραφεί</w:t>
      </w:r>
      <w:r w:rsidR="00A0294E">
        <w:t>α</w:t>
      </w:r>
      <w:r>
        <w:t xml:space="preserve"> και λοιπές μη κατοικί</w:t>
      </w:r>
      <w:r w:rsidR="00A0294E">
        <w:t>ε</w:t>
      </w:r>
      <w:r>
        <w:t>ς</w:t>
      </w:r>
      <w:r w:rsidR="00A0294E">
        <w:t xml:space="preserve"> </w:t>
      </w:r>
      <w:r>
        <w:t xml:space="preserve"> </w:t>
      </w:r>
    </w:p>
    <w:p w14:paraId="6B47C2A6" w14:textId="4BFFE82D" w:rsidR="00645B21" w:rsidRDefault="00645B21" w:rsidP="00645B21">
      <w:pPr>
        <w:pStyle w:val="ListParagraph"/>
        <w:numPr>
          <w:ilvl w:val="0"/>
          <w:numId w:val="15"/>
        </w:numPr>
        <w:jc w:val="both"/>
      </w:pPr>
      <w:r>
        <w:t xml:space="preserve">Κάθε νέο δημόσιο </w:t>
      </w:r>
      <w:r w:rsidR="00AD7540">
        <w:t>κτίριο</w:t>
      </w:r>
      <w:r>
        <w:t xml:space="preserve"> ή </w:t>
      </w:r>
      <w:r w:rsidR="00AD7540">
        <w:t>κτίριο</w:t>
      </w:r>
      <w:r>
        <w:t xml:space="preserve"> που χρησιμοποιούν οι δημόσιες αρχές</w:t>
      </w:r>
      <w:r w:rsidR="00A0294E">
        <w:t xml:space="preserve"> από το 2026 θα πρέπει να είναι μηδενικών εκπομπών.</w:t>
      </w:r>
    </w:p>
    <w:p w14:paraId="3AE18938" w14:textId="0E9DC497" w:rsidR="00A0294E" w:rsidRDefault="00A0294E" w:rsidP="00645B21">
      <w:pPr>
        <w:pStyle w:val="ListParagraph"/>
        <w:numPr>
          <w:ilvl w:val="0"/>
          <w:numId w:val="15"/>
        </w:numPr>
        <w:jc w:val="both"/>
      </w:pPr>
      <w:r>
        <w:t xml:space="preserve">Κάθε νέο </w:t>
      </w:r>
      <w:r w:rsidR="00AD7540">
        <w:t>κτίριο</w:t>
      </w:r>
      <w:r>
        <w:t xml:space="preserve"> από το 2028 και μετά θα πρέπει να είναι μηδενικών εκπομπών.</w:t>
      </w:r>
    </w:p>
    <w:p w14:paraId="10DCF340" w14:textId="490B3C22" w:rsidR="00042881" w:rsidRDefault="00042881" w:rsidP="00645B21">
      <w:pPr>
        <w:pStyle w:val="ListParagraph"/>
        <w:numPr>
          <w:ilvl w:val="0"/>
          <w:numId w:val="15"/>
        </w:numPr>
        <w:jc w:val="both"/>
      </w:pPr>
      <w:r>
        <w:t>Ενδεικτικά μια νέα κατοικία στη Μεσογειακή ζώνη για να χαρακτηριστεί ως «μηδενικών εκπομπών» θα πρέπει να έχει μέγιστη κατανάλωση μικρότερη από 60</w:t>
      </w:r>
      <w:r>
        <w:rPr>
          <w:lang w:val="en-GB"/>
        </w:rPr>
        <w:t>kWh</w:t>
      </w:r>
      <w:r w:rsidRPr="00042881">
        <w:t>/</w:t>
      </w:r>
      <w:r>
        <w:rPr>
          <w:lang w:val="en-GB"/>
        </w:rPr>
        <w:t>m</w:t>
      </w:r>
      <w:r w:rsidRPr="00042881">
        <w:rPr>
          <w:vertAlign w:val="superscript"/>
        </w:rPr>
        <w:t>2</w:t>
      </w:r>
      <w:r w:rsidRPr="00042881">
        <w:t>/</w:t>
      </w:r>
      <w:r>
        <w:t>έτος, ενώ γραφεία στην ίδια ζώνη μικρότερη κατανάλωση από 70</w:t>
      </w:r>
      <w:r>
        <w:rPr>
          <w:lang w:val="en-GB"/>
        </w:rPr>
        <w:t>kWh</w:t>
      </w:r>
      <w:r w:rsidRPr="00042881">
        <w:t>/</w:t>
      </w:r>
      <w:r>
        <w:rPr>
          <w:lang w:val="en-GB"/>
        </w:rPr>
        <w:t>m</w:t>
      </w:r>
      <w:r w:rsidRPr="00042881">
        <w:rPr>
          <w:vertAlign w:val="superscript"/>
        </w:rPr>
        <w:t>2</w:t>
      </w:r>
      <w:r w:rsidRPr="00042881">
        <w:t>/</w:t>
      </w:r>
      <w:r>
        <w:t>έτος.</w:t>
      </w:r>
    </w:p>
    <w:p w14:paraId="3841D1E2" w14:textId="634E379D" w:rsidR="00042881" w:rsidRDefault="00042881" w:rsidP="00645B21">
      <w:pPr>
        <w:pStyle w:val="ListParagraph"/>
        <w:numPr>
          <w:ilvl w:val="0"/>
          <w:numId w:val="15"/>
        </w:numPr>
        <w:jc w:val="both"/>
      </w:pPr>
      <w:r>
        <w:t xml:space="preserve">Για να μπορεί να χαρακτηριστεί ένα κτίριο ως «μηδενικών εκπομπών» θα πρέπει </w:t>
      </w:r>
      <w:r w:rsidR="005C1F84">
        <w:t xml:space="preserve">επιπρόσθετα </w:t>
      </w:r>
      <w:r>
        <w:t>να μην δημιουργεί καμία εκπομπή από καύση ορυκτών καυσίμων.</w:t>
      </w:r>
    </w:p>
    <w:p w14:paraId="73137F4A" w14:textId="3B5927D3" w:rsidR="00B82A59" w:rsidRDefault="00B82A59" w:rsidP="00645B21">
      <w:pPr>
        <w:pStyle w:val="ListParagraph"/>
        <w:numPr>
          <w:ilvl w:val="0"/>
          <w:numId w:val="15"/>
        </w:numPr>
        <w:jc w:val="both"/>
      </w:pPr>
      <w:r>
        <w:t>Ενεργειακή βαθμολόγηση με σύστημα ενεργειακής ετικέτας (</w:t>
      </w:r>
      <w:r>
        <w:rPr>
          <w:lang w:val="en-GB"/>
        </w:rPr>
        <w:t>A</w:t>
      </w:r>
      <w:r w:rsidRPr="00B82A59">
        <w:t>,</w:t>
      </w:r>
      <w:r>
        <w:rPr>
          <w:lang w:val="en-GB"/>
        </w:rPr>
        <w:t>B</w:t>
      </w:r>
      <w:r w:rsidRPr="00B82A59">
        <w:t>,</w:t>
      </w:r>
      <w:r>
        <w:rPr>
          <w:lang w:val="en-GB"/>
        </w:rPr>
        <w:t>C</w:t>
      </w:r>
      <w:r w:rsidRPr="00B82A59">
        <w:t>,</w:t>
      </w:r>
      <w:r>
        <w:rPr>
          <w:lang w:val="en-GB"/>
        </w:rPr>
        <w:t>D</w:t>
      </w:r>
      <w:r w:rsidRPr="00B82A59">
        <w:t>,</w:t>
      </w:r>
      <w:r>
        <w:rPr>
          <w:lang w:val="en-GB"/>
        </w:rPr>
        <w:t>E</w:t>
      </w:r>
      <w:r>
        <w:t>) σε όλα τα υφιστάμενα κτίρια και ξεχωριστό χρονοδιάγραμμα αναβάθμισής τους σε υψηλότερη ενεργειακή κλάση.</w:t>
      </w:r>
    </w:p>
    <w:p w14:paraId="2BE86356" w14:textId="1A027CF0" w:rsidR="00646CB8" w:rsidRPr="00B82A59" w:rsidRDefault="00B82A59" w:rsidP="00B82A59">
      <w:pPr>
        <w:pStyle w:val="ListParagraph"/>
        <w:numPr>
          <w:ilvl w:val="0"/>
          <w:numId w:val="15"/>
        </w:numPr>
        <w:jc w:val="both"/>
      </w:pPr>
      <w:proofErr w:type="spellStart"/>
      <w:r>
        <w:t>Φωτοβολταϊκές</w:t>
      </w:r>
      <w:proofErr w:type="spellEnd"/>
      <w:r>
        <w:t xml:space="preserve"> εγκαταστάσεις σε όλα τα κτίρια και στεγασμέν</w:t>
      </w:r>
      <w:r w:rsidR="005C1F84">
        <w:t>ους</w:t>
      </w:r>
      <w:r>
        <w:t xml:space="preserve"> </w:t>
      </w:r>
      <w:r w:rsidR="005C1F84">
        <w:t>χώρους στάθμευσης</w:t>
      </w:r>
      <w:r>
        <w:t xml:space="preserve"> αυτοκινήτων με χρονοδιάγραμμα που ξεκινάει από το τέλος του 2026 για τα δημόσια κτίρια έως και το 2028 για όλα τα νέα κτίρια.</w:t>
      </w:r>
    </w:p>
    <w:p w14:paraId="6B19499D" w14:textId="41346D8D" w:rsidR="000B17F8" w:rsidRDefault="000B17F8" w:rsidP="00941D56">
      <w:pPr>
        <w:pStyle w:val="ListParagraph"/>
        <w:numPr>
          <w:ilvl w:val="0"/>
          <w:numId w:val="15"/>
        </w:numPr>
        <w:jc w:val="both"/>
      </w:pPr>
      <w:r w:rsidRPr="00B82A59">
        <w:t>Θεσμοθετεί το «Διαβατήριο ανακαίνισης» του κτιρίου το οποίο θα συνοδεύει κάθε κτίριο στην πορεία του για μηδενικές εκπομπές.</w:t>
      </w:r>
    </w:p>
    <w:p w14:paraId="05CF9CD5" w14:textId="4B3705ED" w:rsidR="00BC48FB" w:rsidRPr="00B82A59" w:rsidRDefault="00774031" w:rsidP="00941D56">
      <w:pPr>
        <w:pStyle w:val="ListParagraph"/>
        <w:numPr>
          <w:ilvl w:val="0"/>
          <w:numId w:val="15"/>
        </w:numPr>
        <w:jc w:val="both"/>
      </w:pPr>
      <w:r w:rsidRPr="00470118">
        <w:rPr>
          <w:noProof/>
          <w:highlight w:val="yellow"/>
        </w:rPr>
        <w:drawing>
          <wp:anchor distT="0" distB="0" distL="114300" distR="114300" simplePos="0" relativeHeight="251661312" behindDoc="0" locked="0" layoutInCell="1" allowOverlap="1" wp14:anchorId="1F1E1D94" wp14:editId="4312A76A">
            <wp:simplePos x="0" y="0"/>
            <wp:positionH relativeFrom="column">
              <wp:posOffset>3619500</wp:posOffset>
            </wp:positionH>
            <wp:positionV relativeFrom="paragraph">
              <wp:posOffset>47625</wp:posOffset>
            </wp:positionV>
            <wp:extent cx="2667000" cy="1534795"/>
            <wp:effectExtent l="0" t="0" r="0" b="825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67000" cy="1534795"/>
                    </a:xfrm>
                    <a:prstGeom prst="rect">
                      <a:avLst/>
                    </a:prstGeom>
                  </pic:spPr>
                </pic:pic>
              </a:graphicData>
            </a:graphic>
            <wp14:sizeRelH relativeFrom="margin">
              <wp14:pctWidth>0</wp14:pctWidth>
            </wp14:sizeRelH>
            <wp14:sizeRelV relativeFrom="margin">
              <wp14:pctHeight>0</wp14:pctHeight>
            </wp14:sizeRelV>
          </wp:anchor>
        </w:drawing>
      </w:r>
      <w:r w:rsidR="00BC48FB">
        <w:t>Καθιερώνει δείκτες ποιότητας εσωτερικ</w:t>
      </w:r>
      <w:r w:rsidR="00A715AE">
        <w:t>ής</w:t>
      </w:r>
      <w:r w:rsidR="00BC48FB">
        <w:t xml:space="preserve"> </w:t>
      </w:r>
      <w:r w:rsidR="00A715AE">
        <w:t>ατμόσφαιρας</w:t>
      </w:r>
      <w:r w:rsidR="00BC48FB">
        <w:t xml:space="preserve"> (</w:t>
      </w:r>
      <w:r w:rsidR="00BC48FB">
        <w:rPr>
          <w:lang w:val="en-GB"/>
        </w:rPr>
        <w:t>CO</w:t>
      </w:r>
      <w:r w:rsidR="00BC48FB" w:rsidRPr="00BC48FB">
        <w:t xml:space="preserve">2, </w:t>
      </w:r>
      <w:r w:rsidR="00BC48FB">
        <w:t xml:space="preserve">θερμοκρασία, σχετική υγρασία, επίπεδα θορύβου </w:t>
      </w:r>
      <w:proofErr w:type="spellStart"/>
      <w:r w:rsidR="00BC48FB">
        <w:t>κτλ</w:t>
      </w:r>
      <w:proofErr w:type="spellEnd"/>
      <w:r w:rsidR="00BC48FB">
        <w:t>) και υποχρεώνει σε συστήματα παρακολούθησης της ποιότητας αυτής.</w:t>
      </w:r>
    </w:p>
    <w:p w14:paraId="330DD3FD" w14:textId="27BD250C" w:rsidR="00B72DE5" w:rsidRPr="00A715AE" w:rsidRDefault="00B72DE5" w:rsidP="00941D56">
      <w:pPr>
        <w:pStyle w:val="ListParagraph"/>
        <w:numPr>
          <w:ilvl w:val="0"/>
          <w:numId w:val="15"/>
        </w:numPr>
        <w:jc w:val="both"/>
      </w:pPr>
      <w:r w:rsidRPr="00A715AE">
        <w:t>Θεσμοθετεί πανευρωπαϊκά το γνωστό ήδη σε εμάς «Ενεργειακό πιστοποιητικό».</w:t>
      </w:r>
    </w:p>
    <w:p w14:paraId="7057F49E" w14:textId="7F2DDD50" w:rsidR="000B17F8" w:rsidRPr="00A715AE" w:rsidRDefault="000B17F8" w:rsidP="00941D56">
      <w:pPr>
        <w:pStyle w:val="ListParagraph"/>
        <w:numPr>
          <w:ilvl w:val="0"/>
          <w:numId w:val="15"/>
        </w:numPr>
        <w:jc w:val="both"/>
      </w:pPr>
      <w:r w:rsidRPr="00A715AE">
        <w:t xml:space="preserve">Θεσμοθετεί την εγκατάσταση συστήματος επιτήρησης και καταγραφής σε όλα τα τεχνικά κτίρια </w:t>
      </w:r>
      <w:r w:rsidR="00B32BF5" w:rsidRPr="00A715AE">
        <w:t>για την παρακολούθηση της ποιότητας αέρα</w:t>
      </w:r>
      <w:r w:rsidR="00B72DE5" w:rsidRPr="00A715AE">
        <w:t xml:space="preserve"> αλλά και μια ανοιχτή δημόσια βάση δεδομένων που θα περιλαμβάνει όλα τα ανωτέρω δεδομένα κάθε κτιρίου ώστε ο </w:t>
      </w:r>
      <w:r w:rsidR="005C1F84">
        <w:t>ένας</w:t>
      </w:r>
      <w:r w:rsidR="00B72DE5" w:rsidRPr="00A715AE">
        <w:t xml:space="preserve"> επίδοξος αγοραστής / ενοικιαστής να μπορεί να δει το ιστορικό ανακαινίσεων και </w:t>
      </w:r>
      <w:r w:rsidR="005C1F84">
        <w:t>επι</w:t>
      </w:r>
      <w:r w:rsidR="00B72DE5" w:rsidRPr="00A715AE">
        <w:t xml:space="preserve">δόσεων του κτιρίου. </w:t>
      </w:r>
    </w:p>
    <w:p w14:paraId="3FC7E96F" w14:textId="154036A0" w:rsidR="00A715AE" w:rsidRDefault="00B32BF5" w:rsidP="00B20D87">
      <w:pPr>
        <w:pStyle w:val="ListParagraph"/>
        <w:numPr>
          <w:ilvl w:val="0"/>
          <w:numId w:val="15"/>
        </w:numPr>
        <w:jc w:val="both"/>
      </w:pPr>
      <w:r w:rsidRPr="00A715AE">
        <w:t>Υποχρεώνει τις χώρες μέλη της ΕΕ, να δημιουργήσουν προγράμματα ενημέρωσης και χρηματοδότησης ώστε οι στόχοι της οδηγίας να μπορούν να επιτευχθούν.</w:t>
      </w:r>
      <w:r w:rsidR="00456504">
        <w:t xml:space="preserve"> </w:t>
      </w:r>
    </w:p>
    <w:p w14:paraId="489A1E44" w14:textId="672DA9DD" w:rsidR="00B32BF5" w:rsidRDefault="0053028C" w:rsidP="00A715AE">
      <w:pPr>
        <w:jc w:val="both"/>
      </w:pPr>
      <w:r w:rsidRPr="0031270C">
        <w:t xml:space="preserve">Βλέπουμε λοιπόν πως οι τάσεις για απαθρακοποίηση των κτιρίων είναι </w:t>
      </w:r>
      <w:r w:rsidR="00FD3B5C" w:rsidRPr="0031270C">
        <w:t>κυρίαρχες</w:t>
      </w:r>
      <w:r w:rsidRPr="0031270C">
        <w:t xml:space="preserve"> με </w:t>
      </w:r>
      <w:r w:rsidR="0034248A">
        <w:t>βασικό</w:t>
      </w:r>
      <w:r w:rsidR="0031270C" w:rsidRPr="0031270C">
        <w:t xml:space="preserve"> στόχο </w:t>
      </w:r>
      <w:r w:rsidRPr="0031270C">
        <w:t xml:space="preserve">την υιοθέτηση των αντλιών θερμότητας για την ψύξη/θέρμανσή τους. Τα κτίρια θα συνεχίσουν να αναβαθμίζονται ενεργειακά και οι κατασκευαστές των νέων κτιρίων θα πρέπει να αρχίσουν άμεσα να υιοθετούν λύσεις που καθιστούν ένα κτίριο </w:t>
      </w:r>
      <w:r w:rsidRPr="0031270C">
        <w:lastRenderedPageBreak/>
        <w:t>μηδενικών εκπομπώ</w:t>
      </w:r>
      <w:r w:rsidR="00FC4F2B" w:rsidRPr="0031270C">
        <w:t xml:space="preserve">ν, όπως η αξιοποίηση </w:t>
      </w:r>
      <w:r w:rsidR="00821E18" w:rsidRPr="0031270C">
        <w:t>περίσσιας θερμότητας και τα υβριδικά συστήματα ψύξης με συμπαραγωγή ηλεκτρισμού.</w:t>
      </w:r>
    </w:p>
    <w:p w14:paraId="0883FA1B" w14:textId="5E8F3FC6" w:rsidR="00D13F6E" w:rsidRDefault="00D13F6E" w:rsidP="00941D56">
      <w:pPr>
        <w:jc w:val="both"/>
      </w:pPr>
    </w:p>
    <w:p w14:paraId="388E6878" w14:textId="77777777" w:rsidR="003E2E0D" w:rsidRPr="00F03EF5" w:rsidRDefault="003E2E0D" w:rsidP="00941D56">
      <w:pPr>
        <w:jc w:val="both"/>
      </w:pPr>
    </w:p>
    <w:p w14:paraId="777D2671" w14:textId="7903C507" w:rsidR="00CB26AD" w:rsidRPr="007B5833" w:rsidRDefault="007B5833" w:rsidP="002A6370">
      <w:pPr>
        <w:pStyle w:val="Heading2"/>
      </w:pPr>
      <w:r>
        <w:rPr>
          <w:lang w:val="en-GB"/>
        </w:rPr>
        <w:t>FGAS</w:t>
      </w:r>
    </w:p>
    <w:p w14:paraId="284CC540" w14:textId="256F290E" w:rsidR="00A0294E" w:rsidRDefault="00EB5C3C" w:rsidP="00941D56">
      <w:pPr>
        <w:jc w:val="both"/>
      </w:pPr>
      <w:r w:rsidRPr="00EB5C3C">
        <w:drawing>
          <wp:anchor distT="0" distB="0" distL="114300" distR="114300" simplePos="0" relativeHeight="251663360" behindDoc="0" locked="0" layoutInCell="1" allowOverlap="1" wp14:anchorId="0DDA0DED" wp14:editId="5FF9D7FC">
            <wp:simplePos x="0" y="0"/>
            <wp:positionH relativeFrom="column">
              <wp:posOffset>4280535</wp:posOffset>
            </wp:positionH>
            <wp:positionV relativeFrom="paragraph">
              <wp:posOffset>57150</wp:posOffset>
            </wp:positionV>
            <wp:extent cx="2029460" cy="1647825"/>
            <wp:effectExtent l="0" t="0" r="889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029460" cy="1647825"/>
                    </a:xfrm>
                    <a:prstGeom prst="rect">
                      <a:avLst/>
                    </a:prstGeom>
                  </pic:spPr>
                </pic:pic>
              </a:graphicData>
            </a:graphic>
          </wp:anchor>
        </w:drawing>
      </w:r>
      <w:r w:rsidR="000E4094">
        <w:t xml:space="preserve">Η αναθεώρηση του </w:t>
      </w:r>
      <w:r w:rsidR="00CB26AD">
        <w:t>ΕΚ517/2014</w:t>
      </w:r>
      <w:r w:rsidR="000E4094">
        <w:t>,</w:t>
      </w:r>
      <w:r w:rsidR="00CB26AD">
        <w:t xml:space="preserve"> γνωστ</w:t>
      </w:r>
      <w:r w:rsidR="000E4094">
        <w:t>ού</w:t>
      </w:r>
      <w:r w:rsidR="00CB26AD">
        <w:t xml:space="preserve"> και ως </w:t>
      </w:r>
      <w:proofErr w:type="spellStart"/>
      <w:r w:rsidR="00CB26AD">
        <w:rPr>
          <w:lang w:val="en-GB"/>
        </w:rPr>
        <w:t>Fgas</w:t>
      </w:r>
      <w:proofErr w:type="spellEnd"/>
      <w:r w:rsidR="00CB26AD">
        <w:t xml:space="preserve">, </w:t>
      </w:r>
      <w:r w:rsidR="000E4094">
        <w:t>φτάνει στο τέλος της</w:t>
      </w:r>
      <w:r w:rsidR="0024170E">
        <w:t xml:space="preserve">. </w:t>
      </w:r>
      <w:r w:rsidR="000E4094">
        <w:t>Έχοντας ήδη καθυστερήσει</w:t>
      </w:r>
      <w:r w:rsidR="006F29A2" w:rsidRPr="006F29A2">
        <w:t xml:space="preserve"> </w:t>
      </w:r>
      <w:r w:rsidR="006F29A2">
        <w:t>σχεδόν ένα έτος</w:t>
      </w:r>
      <w:r w:rsidR="00CD2BC9">
        <w:t>, αναμένουμε την ψήφιση από την Ευρωβουλή</w:t>
      </w:r>
      <w:r w:rsidR="00653D18" w:rsidRPr="00653D18">
        <w:t xml:space="preserve">, </w:t>
      </w:r>
      <w:r w:rsidR="00653D18">
        <w:t xml:space="preserve">εντός της Σουηδικής Προεδρίας, </w:t>
      </w:r>
      <w:r w:rsidR="00CD2BC9">
        <w:t>το αργότερο έως το καλοκαίρι του 2023. Τον τελευταίο χρόνο υπήρχαν πολλά άνω κάτω, παράλογες</w:t>
      </w:r>
      <w:r w:rsidR="005D0CE0">
        <w:t xml:space="preserve"> «πράσινες»</w:t>
      </w:r>
      <w:r w:rsidR="00CD2BC9">
        <w:t xml:space="preserve"> απαιτήσεις αλλά και υπερσυντηρητικές. Με ελάχιστες εξαιρέσεις, θεωρώ ότι το κείμενο στο οποίο έχουμε καταλήξει είναι ένας καλός συμβιβασμός, μια νομοθεσία με την οποία μπορούμε να εργαστούμε για μειώσεις των εκπομπών χωρίς να δημιουργηθούν μεγάλα προβλήματα στην αγορά των κλάδων μας. </w:t>
      </w:r>
    </w:p>
    <w:p w14:paraId="11145C4B" w14:textId="77777777" w:rsidR="00A0294E" w:rsidRDefault="00A0294E" w:rsidP="00941D56">
      <w:pPr>
        <w:jc w:val="both"/>
      </w:pPr>
    </w:p>
    <w:p w14:paraId="2AA1F226" w14:textId="3C7DAC59" w:rsidR="0024170E" w:rsidRDefault="00514F98" w:rsidP="00941D56">
      <w:pPr>
        <w:jc w:val="both"/>
      </w:pPr>
      <w:r>
        <w:t>Το τελικό στάδιο στο οποίο βρίσκεται η αναθεώρηση είναι η τριμερής διαβούλευση μεταξύ της Ευρωπαϊκής Επιτροπής, της Ευρωβουλής και του Ευρωπαϊκού Συμβουλίου</w:t>
      </w:r>
      <w:r w:rsidR="00653D18">
        <w:t xml:space="preserve"> και </w:t>
      </w:r>
      <w:r w:rsidR="00CD2BC9">
        <w:t xml:space="preserve">εκτός απρόοπτων αλλαγών, </w:t>
      </w:r>
      <w:r w:rsidR="0024170E">
        <w:t>αναμέ</w:t>
      </w:r>
      <w:r w:rsidR="00653D18">
        <w:t>νουμε</w:t>
      </w:r>
      <w:r w:rsidR="0024170E">
        <w:t xml:space="preserve">: </w:t>
      </w:r>
    </w:p>
    <w:p w14:paraId="3FE4F0DF" w14:textId="5C463DCC" w:rsidR="0024170E" w:rsidRDefault="00CD2BC9" w:rsidP="0024170E">
      <w:pPr>
        <w:pStyle w:val="ListParagraph"/>
        <w:numPr>
          <w:ilvl w:val="0"/>
          <w:numId w:val="15"/>
        </w:numPr>
        <w:jc w:val="both"/>
      </w:pPr>
      <w:r>
        <w:t xml:space="preserve">Εισαγωγή στον έλεγχο και παρακολούθηση από τον νέο αυτό κανονισμό όλων των φθοριούχων ψυκτικών ρευστών </w:t>
      </w:r>
      <w:r w:rsidR="005D0CE0">
        <w:t>(</w:t>
      </w:r>
      <w:r w:rsidR="005D0CE0">
        <w:rPr>
          <w:lang w:val="en-GB"/>
        </w:rPr>
        <w:t>HFC</w:t>
      </w:r>
      <w:r w:rsidR="005D0CE0" w:rsidRPr="005D0CE0">
        <w:t xml:space="preserve">, </w:t>
      </w:r>
      <w:r w:rsidR="005D0CE0">
        <w:rPr>
          <w:lang w:val="en-GB"/>
        </w:rPr>
        <w:t>HFO</w:t>
      </w:r>
      <w:r w:rsidR="005D0CE0">
        <w:t>)</w:t>
      </w:r>
      <w:r w:rsidR="005D0CE0" w:rsidRPr="005D0CE0">
        <w:t xml:space="preserve"> </w:t>
      </w:r>
      <w:r>
        <w:t xml:space="preserve">αλλά και όλων </w:t>
      </w:r>
      <w:r w:rsidR="005D0CE0">
        <w:t xml:space="preserve">των </w:t>
      </w:r>
      <w:r>
        <w:t xml:space="preserve">εναλλακτικών όπως η αμμωνία, το διοξείδιο του άνθρακα, το προπάνιο και άλλων. Το κριτήριο εισαγωγής τους στον κανονισμό είναι ότι η μεγάλη μετάβαση προς αυτές τις εναλλακτικές ουσίες θα φέρει και μεγάλη μετακίνηση τεχνικών προς αυτές, όχι απαραίτητα </w:t>
      </w:r>
      <w:r w:rsidR="005D0CE0">
        <w:t xml:space="preserve">κατάλληλα </w:t>
      </w:r>
      <w:r>
        <w:t>εκπαιδευμένων, με πιθανούς κινδύνους για πρόσωπα και εγκαταστάσεις</w:t>
      </w:r>
      <w:r w:rsidR="001B1085">
        <w:t>.</w:t>
      </w:r>
    </w:p>
    <w:p w14:paraId="538E4E9B" w14:textId="2A68F731" w:rsidR="00CD2BC9" w:rsidRDefault="00CD2BC9" w:rsidP="0024170E">
      <w:pPr>
        <w:pStyle w:val="ListParagraph"/>
        <w:numPr>
          <w:ilvl w:val="0"/>
          <w:numId w:val="15"/>
        </w:numPr>
        <w:jc w:val="both"/>
      </w:pPr>
      <w:r>
        <w:t xml:space="preserve">Νέο κύκλο πιστοποιήσεων προσώπων και εταιρειών για τα νέα ρευστά. Θα απαιτούνται </w:t>
      </w:r>
      <w:r w:rsidR="00FA22DD">
        <w:t xml:space="preserve">ξεχωριστές πιστοποιήσεις για εύφλεκτα, τοξικά και υψηλής πίεσης ρευστά. </w:t>
      </w:r>
      <w:r w:rsidR="000F5177">
        <w:t>Οι πιστοποιήσεις πανευρωπαϊκά θα έχουν ημερομηνία λήξης στα 5</w:t>
      </w:r>
      <w:r w:rsidR="00A539CD">
        <w:t xml:space="preserve"> έως 7</w:t>
      </w:r>
      <w:r w:rsidR="000F5177">
        <w:t xml:space="preserve"> έτη αλλά θα ανανεώνονται με απλή κατάρτιση και όχι εξετάσεις. </w:t>
      </w:r>
    </w:p>
    <w:p w14:paraId="1E4E618A" w14:textId="3A5F213D" w:rsidR="00FA22DD" w:rsidRDefault="00FA22DD" w:rsidP="0024170E">
      <w:pPr>
        <w:pStyle w:val="ListParagraph"/>
        <w:numPr>
          <w:ilvl w:val="0"/>
          <w:numId w:val="15"/>
        </w:numPr>
        <w:jc w:val="both"/>
      </w:pPr>
      <w:r>
        <w:t xml:space="preserve">Σταδιακή και όχι απότομη μείωση των ποσοστώσεων, και άρα των διαθέσιμων ρευστών στην αγορά σε σχέση με το </w:t>
      </w:r>
      <w:r>
        <w:rPr>
          <w:lang w:val="en-GB"/>
        </w:rPr>
        <w:t>GWP</w:t>
      </w:r>
      <w:r w:rsidRPr="00FA22DD">
        <w:t xml:space="preserve"> </w:t>
      </w:r>
      <w:r>
        <w:t xml:space="preserve">τους, έως και το 2048. Θα επεκταθεί δηλαδή η μείωση για περαιτέρω 18 χρόνια. Οι κλάδοι του κλιματισμού και των αντλιών θερμότητας δεν αναμένεται να επηρεαστούν ιδιαίτερα μιας και πολλά από τα νέα ρευστά έχουν πολύ μικρό </w:t>
      </w:r>
      <w:r>
        <w:rPr>
          <w:lang w:val="en-GB"/>
        </w:rPr>
        <w:t>GWP</w:t>
      </w:r>
      <w:r>
        <w:t xml:space="preserve"> και θα υπάρχει μεγάλη διαθεσιμότητα.</w:t>
      </w:r>
    </w:p>
    <w:p w14:paraId="1C9FE92C" w14:textId="5802160B" w:rsidR="00FA22DD" w:rsidRDefault="00514F98" w:rsidP="0024170E">
      <w:pPr>
        <w:pStyle w:val="ListParagraph"/>
        <w:numPr>
          <w:ilvl w:val="0"/>
          <w:numId w:val="15"/>
        </w:numPr>
        <w:jc w:val="both"/>
      </w:pPr>
      <w:r>
        <w:rPr>
          <w:noProof/>
        </w:rPr>
        <w:t>Νέο</w:t>
      </w:r>
      <w:r w:rsidR="00653D18">
        <w:rPr>
          <w:noProof/>
        </w:rPr>
        <w:t>υς</w:t>
      </w:r>
      <w:r>
        <w:rPr>
          <w:noProof/>
        </w:rPr>
        <w:t xml:space="preserve"> περιο</w:t>
      </w:r>
      <w:r w:rsidR="00725549">
        <w:rPr>
          <w:noProof/>
        </w:rPr>
        <w:t>ρι</w:t>
      </w:r>
      <w:r>
        <w:rPr>
          <w:noProof/>
        </w:rPr>
        <w:t>σμο</w:t>
      </w:r>
      <w:r w:rsidR="00653D18">
        <w:rPr>
          <w:noProof/>
        </w:rPr>
        <w:t>ύς</w:t>
      </w:r>
      <w:r>
        <w:t xml:space="preserve"> σε εφαρμογές ψύξης. Αναμένεται μείωση του επιτρεπόμενου </w:t>
      </w:r>
      <w:r>
        <w:rPr>
          <w:lang w:val="en-GB"/>
        </w:rPr>
        <w:t>GWP</w:t>
      </w:r>
      <w:r w:rsidRPr="00514F98">
        <w:t xml:space="preserve"> </w:t>
      </w:r>
      <w:r>
        <w:t xml:space="preserve">για νέες στατικές εφαρμογές από 2500 σε 1500. Επίσης δεν θα επιτρέπεται καθόλου συντήρηση σε εφαρμογές με πάνω από </w:t>
      </w:r>
      <w:r>
        <w:rPr>
          <w:lang w:val="en-GB"/>
        </w:rPr>
        <w:t>GWP</w:t>
      </w:r>
      <w:r w:rsidRPr="00514F98">
        <w:t xml:space="preserve"> </w:t>
      </w:r>
      <w:r>
        <w:t>2500</w:t>
      </w:r>
      <w:r w:rsidRPr="00514F98">
        <w:t xml:space="preserve"> </w:t>
      </w:r>
      <w:r>
        <w:t xml:space="preserve">ενώ θα επιτρέπεται </w:t>
      </w:r>
      <w:proofErr w:type="spellStart"/>
      <w:r>
        <w:t>επαναπλήρωση</w:t>
      </w:r>
      <w:proofErr w:type="spellEnd"/>
      <w:r>
        <w:t xml:space="preserve"> μετά από διαρροή σε εφαρμογές </w:t>
      </w:r>
      <w:r w:rsidR="005D0CE0">
        <w:t xml:space="preserve">με </w:t>
      </w:r>
      <w:r w:rsidR="005D0CE0">
        <w:rPr>
          <w:lang w:val="en-GB"/>
        </w:rPr>
        <w:t>GWP</w:t>
      </w:r>
      <w:r w:rsidR="005D0CE0" w:rsidRPr="005D0CE0">
        <w:t xml:space="preserve"> </w:t>
      </w:r>
      <w:r>
        <w:t>μεταξύ 2500 και 1500 μόνο με ανακυκλωμένο ρευστό.</w:t>
      </w:r>
    </w:p>
    <w:p w14:paraId="00AF46EC" w14:textId="0557F336" w:rsidR="00514F98" w:rsidRDefault="00514F98" w:rsidP="0024170E">
      <w:pPr>
        <w:pStyle w:val="ListParagraph"/>
        <w:numPr>
          <w:ilvl w:val="0"/>
          <w:numId w:val="15"/>
        </w:numPr>
        <w:jc w:val="both"/>
      </w:pPr>
      <w:r>
        <w:t>Νέο</w:t>
      </w:r>
      <w:r w:rsidR="00653D18">
        <w:t>υς</w:t>
      </w:r>
      <w:r>
        <w:t xml:space="preserve"> περιορισμο</w:t>
      </w:r>
      <w:r w:rsidR="00653D18">
        <w:t>ύς</w:t>
      </w:r>
      <w:r>
        <w:t xml:space="preserve"> σε εφαρμογές κλιματισμού. </w:t>
      </w:r>
      <w:r w:rsidR="00653D18">
        <w:t xml:space="preserve">Οι συσκευές τύπου </w:t>
      </w:r>
      <w:r w:rsidR="00653D18">
        <w:rPr>
          <w:lang w:val="en-GB"/>
        </w:rPr>
        <w:t>split</w:t>
      </w:r>
      <w:r w:rsidR="00653D18" w:rsidRPr="00653D18">
        <w:t xml:space="preserve"> </w:t>
      </w:r>
      <w:r w:rsidR="002319CB">
        <w:t xml:space="preserve">στις περισσότερες προτάσεις </w:t>
      </w:r>
      <w:r w:rsidR="00653D18">
        <w:t>χωρίζονται σε 3 διακριτές κατηγορίες:</w:t>
      </w:r>
    </w:p>
    <w:p w14:paraId="4677503F" w14:textId="5445B34D" w:rsidR="00653D18" w:rsidRDefault="00653D18" w:rsidP="00653D18">
      <w:pPr>
        <w:pStyle w:val="ListParagraph"/>
        <w:numPr>
          <w:ilvl w:val="1"/>
          <w:numId w:val="15"/>
        </w:numPr>
        <w:jc w:val="both"/>
      </w:pPr>
      <w:r>
        <w:rPr>
          <w:lang w:val="en-GB"/>
        </w:rPr>
        <w:t>Split</w:t>
      </w:r>
      <w:r w:rsidRPr="00653D18">
        <w:t xml:space="preserve"> </w:t>
      </w:r>
      <w:r>
        <w:t>μονού τύπου με μέγιστη πλήρωση τα 3</w:t>
      </w:r>
      <w:r>
        <w:rPr>
          <w:lang w:val="en-GB"/>
        </w:rPr>
        <w:t>kg</w:t>
      </w:r>
      <w:r w:rsidRPr="00653D18">
        <w:t xml:space="preserve"> </w:t>
      </w:r>
      <w:r>
        <w:t>φθοριούχου ρευστού</w:t>
      </w:r>
      <w:r w:rsidRPr="00653D18">
        <w:t xml:space="preserve">, </w:t>
      </w:r>
      <w:r>
        <w:t xml:space="preserve">όπου θα επιτρέπεται η χρήση ρευστών κάτω από </w:t>
      </w:r>
      <w:r>
        <w:rPr>
          <w:lang w:val="en-GB"/>
        </w:rPr>
        <w:t>GWP</w:t>
      </w:r>
      <w:r w:rsidRPr="00653D18">
        <w:t xml:space="preserve"> 750.</w:t>
      </w:r>
    </w:p>
    <w:p w14:paraId="0E9131A8" w14:textId="2AA43F77" w:rsidR="00653D18" w:rsidRDefault="00653D18" w:rsidP="00653D18">
      <w:pPr>
        <w:pStyle w:val="ListParagraph"/>
        <w:numPr>
          <w:ilvl w:val="1"/>
          <w:numId w:val="15"/>
        </w:numPr>
        <w:jc w:val="both"/>
      </w:pPr>
      <w:r>
        <w:rPr>
          <w:lang w:val="en-GB"/>
        </w:rPr>
        <w:t>Split</w:t>
      </w:r>
      <w:r w:rsidRPr="00653D18">
        <w:t xml:space="preserve"> </w:t>
      </w:r>
      <w:r>
        <w:t>πολλαπλών μονάδων με μέγισ</w:t>
      </w:r>
      <w:r w:rsidR="00A75EB1">
        <w:t>τη απόδοση τα 12</w:t>
      </w:r>
      <w:r w:rsidR="00A75EB1">
        <w:rPr>
          <w:lang w:val="en-GB"/>
        </w:rPr>
        <w:t>kW</w:t>
      </w:r>
      <w:r w:rsidR="00A75EB1">
        <w:t xml:space="preserve">, όπου θα επιτρέπεται η χρήση ρευστών κάτω από </w:t>
      </w:r>
      <w:r w:rsidR="00A75EB1">
        <w:rPr>
          <w:lang w:val="en-GB"/>
        </w:rPr>
        <w:t>GWP</w:t>
      </w:r>
      <w:r w:rsidR="00A75EB1" w:rsidRPr="00653D18">
        <w:t xml:space="preserve"> </w:t>
      </w:r>
      <w:r w:rsidR="00A75EB1">
        <w:t>1</w:t>
      </w:r>
      <w:r w:rsidR="00A75EB1" w:rsidRPr="00653D18">
        <w:t>50</w:t>
      </w:r>
      <w:r w:rsidR="00A75EB1">
        <w:t>, εκτός αν υπάρχουν ειδικές απαιτήσεις ασφάλειας</w:t>
      </w:r>
      <w:r w:rsidR="00A75EB1" w:rsidRPr="00653D18">
        <w:t>.</w:t>
      </w:r>
    </w:p>
    <w:p w14:paraId="7F99FCDA" w14:textId="719000F0" w:rsidR="00A75EB1" w:rsidRDefault="00A75EB1" w:rsidP="002319CB">
      <w:pPr>
        <w:pStyle w:val="ListParagraph"/>
        <w:numPr>
          <w:ilvl w:val="1"/>
          <w:numId w:val="15"/>
        </w:numPr>
        <w:jc w:val="both"/>
      </w:pPr>
      <w:r>
        <w:rPr>
          <w:lang w:val="en-GB"/>
        </w:rPr>
        <w:t>Split</w:t>
      </w:r>
      <w:r w:rsidRPr="00653D18">
        <w:t xml:space="preserve"> </w:t>
      </w:r>
      <w:r>
        <w:t>πολλαπλών μονάδων με απόδοση μεγαλύτερη από τα 12</w:t>
      </w:r>
      <w:r>
        <w:rPr>
          <w:lang w:val="en-GB"/>
        </w:rPr>
        <w:t>kW</w:t>
      </w:r>
      <w:r>
        <w:t xml:space="preserve">, όπου θα επιτρέπεται η χρήση ρευστών κάτω από </w:t>
      </w:r>
      <w:r>
        <w:rPr>
          <w:lang w:val="en-GB"/>
        </w:rPr>
        <w:t>GWP</w:t>
      </w:r>
      <w:r w:rsidRPr="00653D18">
        <w:t xml:space="preserve"> 750</w:t>
      </w:r>
      <w:r>
        <w:t>, εκτός αν υπάρχουν ειδικές απαιτήσεις ασφάλειας</w:t>
      </w:r>
      <w:r w:rsidRPr="00653D18">
        <w:t>.</w:t>
      </w:r>
    </w:p>
    <w:p w14:paraId="2FD6E841" w14:textId="30FB8A6B" w:rsidR="001B1085" w:rsidRDefault="002319CB" w:rsidP="002319CB">
      <w:pPr>
        <w:pStyle w:val="ListParagraph"/>
        <w:numPr>
          <w:ilvl w:val="0"/>
          <w:numId w:val="15"/>
        </w:numPr>
        <w:jc w:val="both"/>
      </w:pPr>
      <w:r>
        <w:t>Ανατροπή στην απαίτηση χ</w:t>
      </w:r>
      <w:r w:rsidR="0024170E" w:rsidRPr="002319CB">
        <w:t>ρήση</w:t>
      </w:r>
      <w:r>
        <w:t>ς</w:t>
      </w:r>
      <w:r w:rsidR="0024170E" w:rsidRPr="002319CB">
        <w:t xml:space="preserve"> </w:t>
      </w:r>
      <w:r w:rsidR="001B1085" w:rsidRPr="002319CB">
        <w:t xml:space="preserve">της </w:t>
      </w:r>
      <w:r>
        <w:t>6</w:t>
      </w:r>
      <w:r w:rsidR="005A1029" w:rsidRPr="002319CB">
        <w:rPr>
          <w:vertAlign w:val="superscript"/>
        </w:rPr>
        <w:t>η</w:t>
      </w:r>
      <w:r w:rsidR="005A1029" w:rsidRPr="002319CB">
        <w:t xml:space="preserve"> </w:t>
      </w:r>
      <w:r w:rsidR="001B1085" w:rsidRPr="002319CB">
        <w:t xml:space="preserve">έκθεσης του </w:t>
      </w:r>
      <w:r w:rsidR="001B1085" w:rsidRPr="002319CB">
        <w:rPr>
          <w:lang w:val="en-GB"/>
        </w:rPr>
        <w:t>IPCC</w:t>
      </w:r>
      <w:r w:rsidR="001B1085" w:rsidRPr="002319CB">
        <w:t xml:space="preserve"> για τον υπολογισμό του </w:t>
      </w:r>
      <w:r w:rsidR="001B1085" w:rsidRPr="002319CB">
        <w:rPr>
          <w:lang w:val="en-GB"/>
        </w:rPr>
        <w:t>GWP</w:t>
      </w:r>
      <w:r w:rsidR="001B1085" w:rsidRPr="002319CB">
        <w:t xml:space="preserve"> των ελεγχόμενων ουσιών</w:t>
      </w:r>
      <w:r>
        <w:t xml:space="preserve"> και επαναφορά στη χρήση της</w:t>
      </w:r>
      <w:r w:rsidRPr="002319CB">
        <w:t xml:space="preserve"> </w:t>
      </w:r>
      <w:r>
        <w:t>4</w:t>
      </w:r>
      <w:r w:rsidRPr="002319CB">
        <w:rPr>
          <w:vertAlign w:val="superscript"/>
        </w:rPr>
        <w:t>η</w:t>
      </w:r>
      <w:r w:rsidRPr="002319CB">
        <w:t xml:space="preserve"> έκθεσης</w:t>
      </w:r>
      <w:r w:rsidR="005D0CE0" w:rsidRPr="005D0CE0">
        <w:t xml:space="preserve"> </w:t>
      </w:r>
      <w:r w:rsidR="005D0CE0">
        <w:t>όπως γίνεται και τώρα</w:t>
      </w:r>
      <w:r>
        <w:t xml:space="preserve">. Αυτό σημαίνει πως το </w:t>
      </w:r>
      <w:r>
        <w:rPr>
          <w:lang w:val="en-GB"/>
        </w:rPr>
        <w:t>R</w:t>
      </w:r>
      <w:r>
        <w:t xml:space="preserve">32 παραμείνει στη λίστα των επιτρεπόμενων ρευστών του κλιματισμού με </w:t>
      </w:r>
      <w:r>
        <w:rPr>
          <w:lang w:val="en-GB"/>
        </w:rPr>
        <w:t>GWP</w:t>
      </w:r>
      <w:r>
        <w:t xml:space="preserve"> μικρότερο από 750. </w:t>
      </w:r>
    </w:p>
    <w:p w14:paraId="5CAB2138" w14:textId="69D1F47F" w:rsidR="002319CB" w:rsidRDefault="002319CB" w:rsidP="002319CB">
      <w:pPr>
        <w:pStyle w:val="ListParagraph"/>
        <w:numPr>
          <w:ilvl w:val="0"/>
          <w:numId w:val="15"/>
        </w:numPr>
        <w:jc w:val="both"/>
      </w:pPr>
      <w:r>
        <w:t xml:space="preserve">Ανατροπή στην </w:t>
      </w:r>
      <w:r w:rsidR="00AA1FB1">
        <w:t xml:space="preserve">απαίτηση ποσοστώσεων </w:t>
      </w:r>
      <w:r>
        <w:t xml:space="preserve">των </w:t>
      </w:r>
      <w:r w:rsidR="005D0CE0">
        <w:t xml:space="preserve">εισπνεόμενων </w:t>
      </w:r>
      <w:r>
        <w:t xml:space="preserve">φαρμακευτικών </w:t>
      </w:r>
      <w:r w:rsidR="00AA1FB1">
        <w:t xml:space="preserve">σκευασμάτων που χρησιμοποιούν φθοριούχα ρευστά. Αυτό σημαίνει πως τα σκευάσματα θα διατηρήσουν την χρήση των φθοριούχων ρευστών για την ώρα, μέχρι να προχωρήσει η έρευνα και η πιστοποίηση των φαρμακευτικών εταιρειών </w:t>
      </w:r>
      <w:r w:rsidR="00090326">
        <w:t xml:space="preserve">για νέα εναλλακτικά ρευστά </w:t>
      </w:r>
      <w:r w:rsidR="00AA1FB1">
        <w:t xml:space="preserve">που είναι αρκετά χρονοβόρα. </w:t>
      </w:r>
    </w:p>
    <w:p w14:paraId="2BB6C368" w14:textId="677B63A9" w:rsidR="00AA1FB1" w:rsidRDefault="00AA1FB1" w:rsidP="002319CB">
      <w:pPr>
        <w:pStyle w:val="ListParagraph"/>
        <w:numPr>
          <w:ilvl w:val="0"/>
          <w:numId w:val="15"/>
        </w:numPr>
        <w:jc w:val="both"/>
      </w:pPr>
      <w:r>
        <w:t xml:space="preserve">Εισαγωγή </w:t>
      </w:r>
      <w:r w:rsidR="00090326">
        <w:t xml:space="preserve">ετήσιου </w:t>
      </w:r>
      <w:r>
        <w:t>κόστους διατήρησης της ποσόστωσης από τους κατόχους τους. Το</w:t>
      </w:r>
      <w:r w:rsidR="00090326">
        <w:t xml:space="preserve"> Ευρωπαϊκό </w:t>
      </w:r>
      <w:r>
        <w:t xml:space="preserve">μητρώο καταχώρησης θα απαιτεί προπληρωμή του δικαιώματος διατήρησης ποσόστωσης </w:t>
      </w:r>
      <w:r w:rsidR="00090326">
        <w:t xml:space="preserve">κάθε χρόνο </w:t>
      </w:r>
      <w:r>
        <w:t xml:space="preserve">με κόστος που αναμένεται να φτάνει τα </w:t>
      </w:r>
      <w:r w:rsidR="00A539CD">
        <w:t xml:space="preserve">3 έως </w:t>
      </w:r>
      <w:r>
        <w:t>4</w:t>
      </w:r>
      <w:r w:rsidR="003365FF">
        <w:t>,00</w:t>
      </w:r>
      <w:r>
        <w:t>€ ανά τόνο ισοδύναμου διοξειδίου (</w:t>
      </w:r>
      <w:r>
        <w:rPr>
          <w:lang w:val="en-GB"/>
        </w:rPr>
        <w:t>t</w:t>
      </w:r>
      <w:r w:rsidRPr="00AA1FB1">
        <w:t xml:space="preserve"> </w:t>
      </w:r>
      <w:r>
        <w:rPr>
          <w:lang w:val="en-GB"/>
        </w:rPr>
        <w:t>CO</w:t>
      </w:r>
      <w:r w:rsidRPr="00AA1FB1">
        <w:t xml:space="preserve">2 </w:t>
      </w:r>
      <w:proofErr w:type="spellStart"/>
      <w:r>
        <w:rPr>
          <w:lang w:val="en-GB"/>
        </w:rPr>
        <w:t>eq</w:t>
      </w:r>
      <w:proofErr w:type="spellEnd"/>
      <w:r w:rsidRPr="00AA1FB1">
        <w:t xml:space="preserve">). </w:t>
      </w:r>
      <w:r>
        <w:t xml:space="preserve">Αν κάποιος κάτοχος δεν πληρώσει για την διατήρηση χάνει το δικαίωμα </w:t>
      </w:r>
      <w:r w:rsidR="00A539CD">
        <w:t>κατοχής ποσόστωσης</w:t>
      </w:r>
      <w:r>
        <w:t>.</w:t>
      </w:r>
      <w:r w:rsidR="005D0CE0">
        <w:t xml:space="preserve"> Η διατήρηση μέρους της ποσόστωσης θα είναι δυνατή με πληρωμή μέρους του ποσού.</w:t>
      </w:r>
    </w:p>
    <w:p w14:paraId="0980A818" w14:textId="23BD85CD" w:rsidR="00AA1FB1" w:rsidRPr="002319CB" w:rsidRDefault="00AA1FB1" w:rsidP="002319CB">
      <w:pPr>
        <w:pStyle w:val="ListParagraph"/>
        <w:numPr>
          <w:ilvl w:val="0"/>
          <w:numId w:val="15"/>
        </w:numPr>
        <w:jc w:val="both"/>
      </w:pPr>
      <w:r>
        <w:t xml:space="preserve">Νέο διευρυμένο χρονοδιάγραμμα μειώσεων των ποσοστώσεων </w:t>
      </w:r>
      <w:r w:rsidR="005D0CE0">
        <w:t>με ορίζοντα</w:t>
      </w:r>
      <w:r>
        <w:t xml:space="preserve"> το 2048 </w:t>
      </w:r>
      <w:r w:rsidR="005D0CE0">
        <w:t xml:space="preserve">που </w:t>
      </w:r>
      <w:r>
        <w:t>προσεγγίζει κατ’ ελάχιστο τις απαιτούμενες μειώσεις από το Κιγκάλι 2016. Η εκτιμώμενη τελική ποσόστωση που αναμένεται για το 2048 αγγίζει το 1,5% της συνολικής ποσότητας αναφοράς του 2015 (μείωση της τάξης του 98,5%).</w:t>
      </w:r>
    </w:p>
    <w:p w14:paraId="085EAE4E" w14:textId="7085D933" w:rsidR="00DD33D5" w:rsidRDefault="00DD33D5" w:rsidP="006C001B">
      <w:pPr>
        <w:jc w:val="both"/>
        <w:rPr>
          <w:highlight w:val="yellow"/>
        </w:rPr>
      </w:pPr>
    </w:p>
    <w:p w14:paraId="59EA7B14" w14:textId="38148F6E" w:rsidR="00782A82" w:rsidRDefault="00B83EE0" w:rsidP="006C001B">
      <w:pPr>
        <w:jc w:val="both"/>
      </w:pPr>
      <w:r>
        <w:t>Πολύ πρόσφατα</w:t>
      </w:r>
      <w:r w:rsidR="00782A82">
        <w:t>, την 1</w:t>
      </w:r>
      <w:r w:rsidR="00782A82" w:rsidRPr="00782A82">
        <w:rPr>
          <w:vertAlign w:val="superscript"/>
        </w:rPr>
        <w:t>η</w:t>
      </w:r>
      <w:r w:rsidR="00782A82">
        <w:t xml:space="preserve"> Μαρτίου 2023, η Ευρωπαϊκή Επιτροπή Περιβάλλοντος (</w:t>
      </w:r>
      <w:r w:rsidR="00782A82">
        <w:rPr>
          <w:lang w:val="en-GB"/>
        </w:rPr>
        <w:t>ENVI</w:t>
      </w:r>
      <w:r w:rsidR="00782A82" w:rsidRPr="00782A82">
        <w:t>)</w:t>
      </w:r>
      <w:r w:rsidR="00A74512" w:rsidRPr="00A74512">
        <w:t xml:space="preserve"> </w:t>
      </w:r>
      <w:r w:rsidR="00A74512">
        <w:t xml:space="preserve">αποφάσισε και ψήφισε πρόταση που αλλάζει τελείως τα αναμενόμενα και </w:t>
      </w:r>
      <w:r w:rsidR="00F80B3C">
        <w:t xml:space="preserve">μεταξύ άλλων </w:t>
      </w:r>
      <w:r w:rsidR="00A74512">
        <w:t>περιλαμβάνει:</w:t>
      </w:r>
    </w:p>
    <w:p w14:paraId="5FE1FFCE" w14:textId="47175AA1" w:rsidR="00A74512" w:rsidRDefault="00A74512" w:rsidP="00A74512">
      <w:pPr>
        <w:pStyle w:val="ListParagraph"/>
        <w:numPr>
          <w:ilvl w:val="0"/>
          <w:numId w:val="24"/>
        </w:numPr>
        <w:jc w:val="both"/>
      </w:pPr>
      <w:r>
        <w:t>Από 1/1/202</w:t>
      </w:r>
      <w:r w:rsidRPr="00A74512">
        <w:t>7</w:t>
      </w:r>
      <w:r>
        <w:t xml:space="preserve">, απαγόρευση φθοριούχων ψυκτικών ρευστών σε όλα τα συστήματα </w:t>
      </w:r>
      <w:r>
        <w:rPr>
          <w:lang w:val="en-GB"/>
        </w:rPr>
        <w:t>split</w:t>
      </w:r>
      <w:r w:rsidRPr="00A74512">
        <w:t xml:space="preserve"> </w:t>
      </w:r>
      <w:r>
        <w:t>κλιματισμού με ψυκτική ισχύ έως 12</w:t>
      </w:r>
      <w:r>
        <w:rPr>
          <w:lang w:val="en-GB"/>
        </w:rPr>
        <w:t>kW</w:t>
      </w:r>
      <w:r w:rsidRPr="00A74512">
        <w:t>.</w:t>
      </w:r>
    </w:p>
    <w:p w14:paraId="22E6C7A9" w14:textId="55D4C12A" w:rsidR="00A74512" w:rsidRDefault="00A74512" w:rsidP="00A74512">
      <w:pPr>
        <w:pStyle w:val="ListParagraph"/>
        <w:numPr>
          <w:ilvl w:val="0"/>
          <w:numId w:val="24"/>
        </w:numPr>
        <w:jc w:val="both"/>
      </w:pPr>
      <w:r>
        <w:t xml:space="preserve">Από 1/1/2028, απαγόρευση φθοριούχων ψυκτικών ρευστών </w:t>
      </w:r>
      <w:r w:rsidRPr="00A74512">
        <w:t xml:space="preserve"> </w:t>
      </w:r>
      <w:r>
        <w:t xml:space="preserve">με </w:t>
      </w:r>
      <w:r>
        <w:rPr>
          <w:lang w:val="en-GB"/>
        </w:rPr>
        <w:t>GWP</w:t>
      </w:r>
      <w:r>
        <w:t xml:space="preserve"> </w:t>
      </w:r>
      <w:r w:rsidRPr="00A74512">
        <w:t xml:space="preserve">750 </w:t>
      </w:r>
      <w:r>
        <w:t xml:space="preserve">και πάνω σε όλα τα συστήματα </w:t>
      </w:r>
      <w:r>
        <w:rPr>
          <w:lang w:val="en-GB"/>
        </w:rPr>
        <w:t>split</w:t>
      </w:r>
      <w:r w:rsidRPr="00A74512">
        <w:t xml:space="preserve"> </w:t>
      </w:r>
      <w:r>
        <w:t>κλιματισμού με ψυκτική ισχύ μεταξύ 12</w:t>
      </w:r>
      <w:r>
        <w:rPr>
          <w:lang w:val="en-GB"/>
        </w:rPr>
        <w:t>kW</w:t>
      </w:r>
      <w:r>
        <w:t xml:space="preserve"> και 200</w:t>
      </w:r>
      <w:r>
        <w:rPr>
          <w:lang w:val="en-GB"/>
        </w:rPr>
        <w:t>KW</w:t>
      </w:r>
      <w:r w:rsidRPr="00A74512">
        <w:t>.</w:t>
      </w:r>
    </w:p>
    <w:p w14:paraId="5E034E62" w14:textId="475F56BE" w:rsidR="00A74512" w:rsidRDefault="00A74512" w:rsidP="00A74512">
      <w:pPr>
        <w:pStyle w:val="ListParagraph"/>
        <w:numPr>
          <w:ilvl w:val="0"/>
          <w:numId w:val="24"/>
        </w:numPr>
        <w:jc w:val="both"/>
      </w:pPr>
      <w:r>
        <w:t xml:space="preserve">Από 1/1/2028, απαγόρευση φθοριούχων ψυκτικών ρευστών σε όλα τα συστήματα </w:t>
      </w:r>
      <w:r>
        <w:rPr>
          <w:lang w:val="en-GB"/>
        </w:rPr>
        <w:t>split</w:t>
      </w:r>
      <w:r w:rsidRPr="00A74512">
        <w:t xml:space="preserve"> </w:t>
      </w:r>
      <w:r>
        <w:t>κλιματισμού με ψυκτική ισχύ από 200</w:t>
      </w:r>
      <w:r>
        <w:rPr>
          <w:lang w:val="en-GB"/>
        </w:rPr>
        <w:t>kW</w:t>
      </w:r>
      <w:r>
        <w:t xml:space="preserve"> και πάνω</w:t>
      </w:r>
      <w:r w:rsidRPr="00A74512">
        <w:t>.</w:t>
      </w:r>
    </w:p>
    <w:p w14:paraId="2F8F8254" w14:textId="670442D1" w:rsidR="00A74512" w:rsidRDefault="00A74512" w:rsidP="00A74512">
      <w:pPr>
        <w:pStyle w:val="ListParagraph"/>
        <w:numPr>
          <w:ilvl w:val="0"/>
          <w:numId w:val="24"/>
        </w:numPr>
        <w:jc w:val="both"/>
      </w:pPr>
      <w:r>
        <w:t>Από 1/1/2024, απαγόρευση φθοριούχων ψυκτικών ρευστών σε όλα τα αυτόνομα συστήματα εμπορικής ψύξης.</w:t>
      </w:r>
    </w:p>
    <w:p w14:paraId="0C9B09ED" w14:textId="7F1AEEBD" w:rsidR="00A74512" w:rsidRPr="00A74512" w:rsidRDefault="00A74512" w:rsidP="00A74512">
      <w:pPr>
        <w:pStyle w:val="ListParagraph"/>
        <w:numPr>
          <w:ilvl w:val="0"/>
          <w:numId w:val="24"/>
        </w:numPr>
        <w:jc w:val="both"/>
      </w:pPr>
      <w:r>
        <w:t xml:space="preserve">Από 1/2/2025, απαγόρευση φθοριούχων ψυκτικών ρευστών σε όλα τα σταθερά συστήματα ψύξης εκτός από τις εφαρμογές </w:t>
      </w:r>
      <w:r w:rsidR="00B83EE0">
        <w:t>για θερμοκρασίες κάτω από -50</w:t>
      </w:r>
      <w:proofErr w:type="spellStart"/>
      <w:r w:rsidR="00B83EE0" w:rsidRPr="00B83EE0">
        <w:rPr>
          <w:vertAlign w:val="superscript"/>
          <w:lang w:val="en-GB"/>
        </w:rPr>
        <w:t>o</w:t>
      </w:r>
      <w:r w:rsidR="00B83EE0">
        <w:rPr>
          <w:lang w:val="en-GB"/>
        </w:rPr>
        <w:t>C</w:t>
      </w:r>
      <w:proofErr w:type="spellEnd"/>
      <w:r w:rsidR="00B83EE0" w:rsidRPr="00B83EE0">
        <w:t xml:space="preserve"> </w:t>
      </w:r>
      <w:r w:rsidR="00B83EE0">
        <w:t>όπου η απαγόρευση ξεκινάει από 1/1/2027.</w:t>
      </w:r>
    </w:p>
    <w:p w14:paraId="4548819A" w14:textId="0A7E99E0" w:rsidR="00782A82" w:rsidRPr="00B83EE0" w:rsidRDefault="00B83EE0" w:rsidP="006C001B">
      <w:pPr>
        <w:jc w:val="both"/>
      </w:pPr>
      <w:r w:rsidRPr="00B83EE0">
        <w:t xml:space="preserve">Εδώ πρέπει να τονιστεί ότι αυτή η πρόταση είναι εισήγηση </w:t>
      </w:r>
      <w:r>
        <w:t xml:space="preserve">της </w:t>
      </w:r>
      <w:r>
        <w:rPr>
          <w:lang w:val="en-GB"/>
        </w:rPr>
        <w:t>ENVI</w:t>
      </w:r>
      <w:r w:rsidRPr="00B83EE0">
        <w:t xml:space="preserve"> </w:t>
      </w:r>
      <w:r>
        <w:t>προς την Ευρωπαϊκή Επιτροπή και δεν σημαίνει απαραίτητα ότι θα είναι και η τελική πρόταση που θα καταλήξει στην Ευρωβουλή για ψήφιση, όμως είναι δυστυχώς άλλη μια μεγάλη πίεση για πρόωρη υιοθέτηση «φυσικών ψυκτικών ρευστών», νωρίτερα από ότι θα θέλαμε ή νωρίτερα από ότι είμαστε έτοιμοι να εφαρμόσουμε.</w:t>
      </w:r>
    </w:p>
    <w:p w14:paraId="5B379808" w14:textId="77777777" w:rsidR="00B83EE0" w:rsidRDefault="00B83EE0" w:rsidP="006C001B">
      <w:pPr>
        <w:jc w:val="both"/>
        <w:rPr>
          <w:highlight w:val="yellow"/>
        </w:rPr>
      </w:pPr>
    </w:p>
    <w:p w14:paraId="290E0F83" w14:textId="4F5E9137" w:rsidR="00CA1ABE" w:rsidRDefault="00AA1FB1" w:rsidP="006C001B">
      <w:pPr>
        <w:jc w:val="both"/>
      </w:pPr>
      <w:r w:rsidRPr="00AA1FB1">
        <w:t>Λαμβάνοντας υπόψη τις ανωτέρω</w:t>
      </w:r>
      <w:r w:rsidR="00221230">
        <w:t xml:space="preserve"> μέχρι σήμερα </w:t>
      </w:r>
      <w:r w:rsidRPr="00AA1FB1">
        <w:t xml:space="preserve">αλλαγές </w:t>
      </w:r>
      <w:r w:rsidR="00D41A09">
        <w:t xml:space="preserve">και προτάσεις </w:t>
      </w:r>
      <w:r w:rsidR="00CA1ABE">
        <w:t>για</w:t>
      </w:r>
      <w:r w:rsidRPr="00AA1FB1">
        <w:t xml:space="preserve"> το</w:t>
      </w:r>
      <w:r w:rsidR="00CA1ABE">
        <w:t>ν</w:t>
      </w:r>
      <w:r w:rsidRPr="00AA1FB1">
        <w:t xml:space="preserve"> νέο </w:t>
      </w:r>
      <w:r w:rsidR="00CA1ABE">
        <w:t xml:space="preserve">κανονισμό φθοριούχων παρατηρούμε πως ο περιορισμός </w:t>
      </w:r>
      <w:r w:rsidR="00D41A09">
        <w:t>τους</w:t>
      </w:r>
      <w:r w:rsidR="00CA1ABE">
        <w:t xml:space="preserve"> συνεχίζεται με ολοένα και περισσότερες εφαρμογές να περιορίζονται στο πια ρευστά μπορούν να χρησιμοποιούν. Είναι φανερό πια ότι η ψύξη δεν μπορεί πια να βασίζεται σε ρευστά με </w:t>
      </w:r>
      <w:r w:rsidR="00CA1ABE">
        <w:rPr>
          <w:lang w:val="en-GB"/>
        </w:rPr>
        <w:t>GWP</w:t>
      </w:r>
      <w:r w:rsidR="00CA1ABE" w:rsidRPr="00CA1ABE">
        <w:t xml:space="preserve"> </w:t>
      </w:r>
      <w:r w:rsidR="00CA1ABE">
        <w:t>μεγαλύτερο του 1500</w:t>
      </w:r>
      <w:r w:rsidR="00B83EE0">
        <w:t xml:space="preserve"> ή ακόμα και χαμηλότερο</w:t>
      </w:r>
      <w:r w:rsidR="00CA1ABE">
        <w:t>, ούτε καν για την απαραίτητη συντήρηση, ενώ ο κλιματισμός μπαίνει σε μια νέα εποχή όπου τ</w:t>
      </w:r>
      <w:r w:rsidR="00A74512">
        <w:t>ουλάχιστον τα</w:t>
      </w:r>
      <w:r w:rsidR="00CA1ABE">
        <w:t xml:space="preserve"> οικιακά </w:t>
      </w:r>
      <w:r w:rsidR="00CA1ABE">
        <w:rPr>
          <w:lang w:val="en-GB"/>
        </w:rPr>
        <w:t>split</w:t>
      </w:r>
      <w:r w:rsidR="00CA1ABE" w:rsidRPr="00CA1ABE">
        <w:t xml:space="preserve"> </w:t>
      </w:r>
      <w:r w:rsidR="00221230">
        <w:t xml:space="preserve">και κάποιες μεγαλύτερες αντλίες θερμότητας </w:t>
      </w:r>
      <w:r w:rsidR="00CA1ABE">
        <w:t xml:space="preserve">θα λειτουργούν με κύριο </w:t>
      </w:r>
      <w:r w:rsidR="00D41A09">
        <w:t xml:space="preserve">πιθανό </w:t>
      </w:r>
      <w:r w:rsidR="00CA1ABE">
        <w:t xml:space="preserve">ρευστό το προπάνιο </w:t>
      </w:r>
      <w:r w:rsidR="00CA1ABE" w:rsidRPr="00CA1ABE">
        <w:t>(</w:t>
      </w:r>
      <w:r w:rsidR="00CA1ABE">
        <w:rPr>
          <w:lang w:val="en-GB"/>
        </w:rPr>
        <w:t>R</w:t>
      </w:r>
      <w:r w:rsidR="00CA1ABE" w:rsidRPr="00CA1ABE">
        <w:t xml:space="preserve">290). </w:t>
      </w:r>
    </w:p>
    <w:p w14:paraId="1101C06B" w14:textId="77777777" w:rsidR="00CA1ABE" w:rsidRDefault="00CA1ABE" w:rsidP="006C001B">
      <w:pPr>
        <w:jc w:val="both"/>
      </w:pPr>
    </w:p>
    <w:p w14:paraId="24302F3B" w14:textId="423CE35F" w:rsidR="003365FF" w:rsidRDefault="00CA1ABE" w:rsidP="006C001B">
      <w:pPr>
        <w:jc w:val="both"/>
      </w:pPr>
      <w:r>
        <w:t>Οι απαιτήσεις σε κατάρτιση και πιστοποίηση των τεχνικών και των εταιρειών θα είναι συνεχείς είτε για λόγους περιβαλλοντικούς είτε για λόγους ασφάλειας, ακόμα για τα «φυσικά ρευστά» όπως η αμμωνία, το διοξείδιο και το προπάνιο. Θα απαιτείται συνεχή</w:t>
      </w:r>
      <w:r w:rsidR="00264B7B">
        <w:t>ς</w:t>
      </w:r>
      <w:r>
        <w:t xml:space="preserve"> παρακολούθηση για διαρροές </w:t>
      </w:r>
      <w:r w:rsidR="00264B7B">
        <w:t xml:space="preserve">σε όλους σχεδόν τους τύπους εγκαταστάσεων για την προστασία τόσο του περιβάλλοντος όσο και των ανθρώπων. </w:t>
      </w:r>
    </w:p>
    <w:p w14:paraId="3206C551" w14:textId="50DC579F" w:rsidR="003365FF" w:rsidRPr="00CA1ABE" w:rsidRDefault="003365FF" w:rsidP="006C001B">
      <w:pPr>
        <w:jc w:val="both"/>
      </w:pPr>
      <w:r>
        <w:t>Τέλος</w:t>
      </w:r>
      <w:r w:rsidR="003E2E0D">
        <w:t>,</w:t>
      </w:r>
      <w:r>
        <w:t xml:space="preserve"> το κόστος των φθοριούχων ψυκτικών ρευστών αναμένεται να αυξηθεί ακόμα περισσότερα μιας και πέρα από τη μόνιμή μείωση των ποσοστώσεων </w:t>
      </w:r>
      <w:r w:rsidR="00D41A09">
        <w:t>θα επιβαρύνονται περαιτέρω με</w:t>
      </w:r>
      <w:r>
        <w:t xml:space="preserve"> το κόστος διατήρησης των ποσοστώσεων του κάθε παραγωγού / εισαγωγέα που αναγκαστικά θα μετακυλήσει το κόστος αυτό στον πελάτη.</w:t>
      </w:r>
    </w:p>
    <w:p w14:paraId="1CD9D6E2" w14:textId="3BFCEEA3" w:rsidR="00AA1FB1" w:rsidRDefault="00AA1FB1" w:rsidP="006C001B">
      <w:pPr>
        <w:jc w:val="both"/>
        <w:rPr>
          <w:highlight w:val="yellow"/>
        </w:rPr>
      </w:pPr>
    </w:p>
    <w:p w14:paraId="715BBD0D" w14:textId="77777777" w:rsidR="003E2E0D" w:rsidRPr="00470118" w:rsidRDefault="003E2E0D" w:rsidP="006C001B">
      <w:pPr>
        <w:jc w:val="both"/>
        <w:rPr>
          <w:highlight w:val="yellow"/>
        </w:rPr>
      </w:pPr>
    </w:p>
    <w:p w14:paraId="2F96C6A1" w14:textId="1FC74BE2" w:rsidR="00B63C40" w:rsidRPr="000F20A4" w:rsidRDefault="00B63C40" w:rsidP="006C001B">
      <w:pPr>
        <w:pStyle w:val="Heading2"/>
        <w:jc w:val="both"/>
      </w:pPr>
      <w:r w:rsidRPr="000F20A4">
        <w:rPr>
          <w:lang w:val="en-GB"/>
        </w:rPr>
        <w:t>REACH</w:t>
      </w:r>
    </w:p>
    <w:p w14:paraId="1F68A76D" w14:textId="300F5AF7" w:rsidR="000F20A4" w:rsidRDefault="00774031" w:rsidP="006C001B">
      <w:pPr>
        <w:jc w:val="both"/>
      </w:pPr>
      <w:r w:rsidRPr="00774031">
        <w:drawing>
          <wp:anchor distT="0" distB="0" distL="114300" distR="114300" simplePos="0" relativeHeight="251662336" behindDoc="0" locked="0" layoutInCell="1" allowOverlap="1" wp14:anchorId="755CA953" wp14:editId="2ABA9B11">
            <wp:simplePos x="0" y="0"/>
            <wp:positionH relativeFrom="column">
              <wp:posOffset>4366260</wp:posOffset>
            </wp:positionH>
            <wp:positionV relativeFrom="paragraph">
              <wp:posOffset>661035</wp:posOffset>
            </wp:positionV>
            <wp:extent cx="1905000" cy="1905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905000" cy="1905000"/>
                    </a:xfrm>
                    <a:prstGeom prst="rect">
                      <a:avLst/>
                    </a:prstGeom>
                  </pic:spPr>
                </pic:pic>
              </a:graphicData>
            </a:graphic>
          </wp:anchor>
        </w:drawing>
      </w:r>
      <w:r w:rsidR="000F20A4">
        <w:t>Η αναθεώρηση του κανονισμού</w:t>
      </w:r>
      <w:r w:rsidR="00B63C40" w:rsidRPr="000F20A4">
        <w:t xml:space="preserve"> </w:t>
      </w:r>
      <w:r w:rsidR="00B63C40" w:rsidRPr="000F20A4">
        <w:rPr>
          <w:lang w:val="en-GB"/>
        </w:rPr>
        <w:t>REACH</w:t>
      </w:r>
      <w:r w:rsidR="00B63C40" w:rsidRPr="000F20A4">
        <w:t xml:space="preserve"> </w:t>
      </w:r>
      <w:r w:rsidR="00A05F3D" w:rsidRPr="000F20A4">
        <w:t>(ΕΚ1907/2006)</w:t>
      </w:r>
      <w:r w:rsidR="00B63C40" w:rsidRPr="000F20A4">
        <w:t xml:space="preserve"> για τ</w:t>
      </w:r>
      <w:r w:rsidR="00F31068">
        <w:t>α</w:t>
      </w:r>
      <w:r w:rsidR="00B63C40" w:rsidRPr="000F20A4">
        <w:t xml:space="preserve"> χημικ</w:t>
      </w:r>
      <w:r w:rsidR="00F31068">
        <w:t>ά</w:t>
      </w:r>
      <w:r w:rsidR="00B63C40" w:rsidRPr="000F20A4">
        <w:t xml:space="preserve"> </w:t>
      </w:r>
      <w:r w:rsidR="00F31068">
        <w:t xml:space="preserve">και τον περιορισμό των </w:t>
      </w:r>
      <w:proofErr w:type="spellStart"/>
      <w:r w:rsidR="00F31068" w:rsidRPr="000F20A4">
        <w:t>υπερφθοροαλκυλιωμέν</w:t>
      </w:r>
      <w:r w:rsidR="00F31068">
        <w:t>ων</w:t>
      </w:r>
      <w:proofErr w:type="spellEnd"/>
      <w:r w:rsidR="00F31068">
        <w:t xml:space="preserve"> ουσιών</w:t>
      </w:r>
      <w:r w:rsidR="00F31068" w:rsidRPr="00F31068">
        <w:t xml:space="preserve"> </w:t>
      </w:r>
      <w:r w:rsidR="00F31068">
        <w:t>(</w:t>
      </w:r>
      <w:r w:rsidR="00F31068">
        <w:rPr>
          <w:lang w:val="en-GB"/>
        </w:rPr>
        <w:t>PFAS</w:t>
      </w:r>
      <w:r w:rsidR="00F31068">
        <w:t>)</w:t>
      </w:r>
      <w:r w:rsidR="00B63C40" w:rsidRPr="000F20A4">
        <w:t xml:space="preserve"> </w:t>
      </w:r>
      <w:r w:rsidR="000F20A4">
        <w:t>έχει προχωρήσει αν και με κάποια καθυστέρηση</w:t>
      </w:r>
      <w:r w:rsidR="00B63C40" w:rsidRPr="000F20A4">
        <w:t xml:space="preserve">. </w:t>
      </w:r>
      <w:r w:rsidR="000F20A4">
        <w:t xml:space="preserve">Η πενταμελής επιτροπή από </w:t>
      </w:r>
      <w:r w:rsidR="00BE4DC8">
        <w:t xml:space="preserve">τις </w:t>
      </w:r>
      <w:r w:rsidR="000F20A4">
        <w:t>χώ</w:t>
      </w:r>
      <w:r w:rsidR="000F20A4" w:rsidRPr="000F20A4">
        <w:t>ρες Σουηδία, Γερμανία, Κάτω Χώρες, Νορβηγία και Δανία</w:t>
      </w:r>
      <w:r w:rsidR="00BE4DC8">
        <w:t>,</w:t>
      </w:r>
      <w:r w:rsidR="000F20A4">
        <w:t xml:space="preserve"> που </w:t>
      </w:r>
      <w:r w:rsidR="00090326">
        <w:t xml:space="preserve">είχε αναλάβει να εξετάσει τις διάφορες ουσίες </w:t>
      </w:r>
      <w:r w:rsidR="000F20A4">
        <w:t>και θα εξέδιδε την αρχική της πρόταση, ολοκλ</w:t>
      </w:r>
      <w:r w:rsidR="00090326">
        <w:t>ήρωσε τον φάκελό της</w:t>
      </w:r>
      <w:r w:rsidR="000F20A4">
        <w:t>.</w:t>
      </w:r>
      <w:r w:rsidR="00090326">
        <w:t xml:space="preserve"> </w:t>
      </w:r>
      <w:r w:rsidR="000F20A4">
        <w:t xml:space="preserve">Δυστυχώς η πρόταση των 5 </w:t>
      </w:r>
      <w:r w:rsidR="00C57209">
        <w:t xml:space="preserve">για τον περιορισμό και/ή απαγόρευση των </w:t>
      </w:r>
      <w:r w:rsidR="00C57209">
        <w:rPr>
          <w:lang w:val="en-GB"/>
        </w:rPr>
        <w:t>PFAS</w:t>
      </w:r>
      <w:r w:rsidR="00C57209" w:rsidRPr="00C57209">
        <w:t xml:space="preserve"> </w:t>
      </w:r>
      <w:r w:rsidR="000F20A4">
        <w:t xml:space="preserve">περιλαμβάνει την άμεση απαγόρευση παραγωγής, πώλησης και χρήσης όλων των φθοριούχων ψυκτικών ρευστών </w:t>
      </w:r>
      <w:r w:rsidR="000F20A4">
        <w:rPr>
          <w:lang w:val="en-GB"/>
        </w:rPr>
        <w:t>HFC</w:t>
      </w:r>
      <w:r w:rsidR="000F20A4" w:rsidRPr="000F20A4">
        <w:t xml:space="preserve">, </w:t>
      </w:r>
      <w:r w:rsidR="000F20A4">
        <w:rPr>
          <w:lang w:val="en-GB"/>
        </w:rPr>
        <w:t>HFO</w:t>
      </w:r>
      <w:r w:rsidR="000F20A4" w:rsidRPr="000F20A4">
        <w:t xml:space="preserve"> </w:t>
      </w:r>
      <w:r w:rsidR="000F20A4">
        <w:t>και μιγμάτων αυτών</w:t>
      </w:r>
      <w:r w:rsidR="00F31068">
        <w:t xml:space="preserve"> με εξαίρεση του </w:t>
      </w:r>
      <w:r w:rsidR="00F31068">
        <w:rPr>
          <w:lang w:val="en-GB"/>
        </w:rPr>
        <w:t>R</w:t>
      </w:r>
      <w:r w:rsidR="00F31068" w:rsidRPr="00F31068">
        <w:t xml:space="preserve">32 </w:t>
      </w:r>
      <w:r w:rsidR="00F31068">
        <w:t xml:space="preserve">μιας και αυτό δεν θεωρείται </w:t>
      </w:r>
      <w:r w:rsidR="00F31068">
        <w:rPr>
          <w:lang w:val="en-GB"/>
        </w:rPr>
        <w:t>PFAS</w:t>
      </w:r>
      <w:r w:rsidR="00F31068">
        <w:t xml:space="preserve">. Οι κλάδοι που πλήττονται άμεσα είναι φυσικά της ψύξης, του κλιματισμού, των αντλιών θερμότητας αλλά και των οχημάτων </w:t>
      </w:r>
      <w:r w:rsidR="00F31068" w:rsidRPr="00F31068">
        <w:t>(</w:t>
      </w:r>
      <w:r w:rsidR="00F31068">
        <w:rPr>
          <w:lang w:val="en-GB"/>
        </w:rPr>
        <w:t>MAC</w:t>
      </w:r>
      <w:r w:rsidR="00F31068" w:rsidRPr="00F31068">
        <w:t xml:space="preserve">) </w:t>
      </w:r>
      <w:r w:rsidR="00F31068">
        <w:t xml:space="preserve">και των φαρμακευτικών μιας και τα φθοριούχα αέρια </w:t>
      </w:r>
      <w:r w:rsidR="003365FF">
        <w:t xml:space="preserve">υπό απαγόρευση απαντώνται παντού. </w:t>
      </w:r>
    </w:p>
    <w:p w14:paraId="4CA59CBD" w14:textId="432270DD" w:rsidR="00A35319" w:rsidRDefault="00A35319" w:rsidP="006C001B">
      <w:pPr>
        <w:jc w:val="both"/>
      </w:pPr>
      <w:r>
        <w:t xml:space="preserve">Το έργο όλων των υπέρμαχων των φθοριούχων ρευστών αναμένεται να είναι εξαιρετικά δύσκολο μιας και το χειρότερο σενάριο έναρξης των διαπραγματεύσεων είναι πραγματικότητα. Θεωρώ πως τα επόμενα 2,5-3 χρόνια μέχρι και την τελική ψήφιση του κανονισμού θα είναι ένας ατελείωτος κύκλος </w:t>
      </w:r>
      <w:r w:rsidR="00EB47E9">
        <w:t xml:space="preserve">μεταξύ μαξιμαλιστικών και απλά </w:t>
      </w:r>
      <w:r>
        <w:t xml:space="preserve">αυστηρών θέσεων με τελικό στόχο να αποδεχτούμε </w:t>
      </w:r>
      <w:r w:rsidR="00090326">
        <w:t xml:space="preserve">μια θέση αυστηρών περιορισμών στην παραγωγή και χρήση των φθοριούχων ψυκτικών ρευστών. </w:t>
      </w:r>
    </w:p>
    <w:p w14:paraId="35F26355" w14:textId="77777777" w:rsidR="00857C0A" w:rsidRDefault="00090326" w:rsidP="006C001B">
      <w:pPr>
        <w:jc w:val="both"/>
      </w:pPr>
      <w:r>
        <w:t xml:space="preserve">Λόγω της μεγάλης εμπειρίας που έχει αποκομίσει ο κλάδος </w:t>
      </w:r>
      <w:r w:rsidR="00857C0A">
        <w:t>τα τελευταία 8 χρόνια από την εφαρμογή του ΕΚ517/2014 (</w:t>
      </w:r>
      <w:proofErr w:type="spellStart"/>
      <w:r w:rsidR="00857C0A">
        <w:rPr>
          <w:lang w:val="en-GB"/>
        </w:rPr>
        <w:t>fgas</w:t>
      </w:r>
      <w:proofErr w:type="spellEnd"/>
      <w:r w:rsidR="00857C0A" w:rsidRPr="00857C0A">
        <w:t xml:space="preserve">) </w:t>
      </w:r>
      <w:r w:rsidR="00857C0A">
        <w:t>θεωρώ ότι μια ενδιάμεση πρόταση που δεν θα απαγορεύει ολικά την χρήση αλλά θα θέτει:</w:t>
      </w:r>
    </w:p>
    <w:p w14:paraId="4C638EFC" w14:textId="74D4A09F" w:rsidR="00857C0A" w:rsidRDefault="00857C0A" w:rsidP="00857C0A">
      <w:pPr>
        <w:pStyle w:val="ListParagraph"/>
        <w:numPr>
          <w:ilvl w:val="0"/>
          <w:numId w:val="22"/>
        </w:numPr>
        <w:jc w:val="both"/>
      </w:pPr>
      <w:r>
        <w:t>αυστηρούς όρους στην παραγωγή και τη χρήση των ουσιών αυτών</w:t>
      </w:r>
      <w:r w:rsidR="004E6D6B">
        <w:t>,</w:t>
      </w:r>
      <w:r>
        <w:t xml:space="preserve"> </w:t>
      </w:r>
    </w:p>
    <w:p w14:paraId="6C4600FA" w14:textId="1C22D851" w:rsidR="00857C0A" w:rsidRDefault="00857C0A" w:rsidP="00857C0A">
      <w:pPr>
        <w:pStyle w:val="ListParagraph"/>
        <w:numPr>
          <w:ilvl w:val="0"/>
          <w:numId w:val="22"/>
        </w:numPr>
        <w:jc w:val="both"/>
      </w:pPr>
      <w:r>
        <w:t>συνεχείς ελέγχους διαρροής</w:t>
      </w:r>
      <w:r w:rsidR="004E6D6B">
        <w:t>,</w:t>
      </w:r>
      <w:r>
        <w:t xml:space="preserve"> </w:t>
      </w:r>
    </w:p>
    <w:p w14:paraId="28DDA9F0" w14:textId="7FD16C45" w:rsidR="00857C0A" w:rsidRDefault="00857C0A" w:rsidP="00857C0A">
      <w:pPr>
        <w:pStyle w:val="ListParagraph"/>
        <w:numPr>
          <w:ilvl w:val="0"/>
          <w:numId w:val="22"/>
        </w:numPr>
        <w:jc w:val="both"/>
      </w:pPr>
      <w:r>
        <w:t>αυστηρές προδιαγραφές συντήρησης από έμπειρο και καταρτισμένο προσωπικό</w:t>
      </w:r>
      <w:r w:rsidR="004E6D6B">
        <w:t>,</w:t>
      </w:r>
    </w:p>
    <w:p w14:paraId="4B1E165F" w14:textId="203392E5" w:rsidR="00090326" w:rsidRDefault="00857C0A" w:rsidP="00857C0A">
      <w:pPr>
        <w:pStyle w:val="ListParagraph"/>
        <w:numPr>
          <w:ilvl w:val="0"/>
          <w:numId w:val="22"/>
        </w:numPr>
        <w:jc w:val="both"/>
      </w:pPr>
      <w:r>
        <w:t>υποχρέωση καταχώρησης σε μητρώα όλου του κύκλου ζωής των ρευστών και των χειριστών αυτών</w:t>
      </w:r>
      <w:r w:rsidR="004E6D6B">
        <w:t>,</w:t>
      </w:r>
    </w:p>
    <w:p w14:paraId="59BA9510" w14:textId="3FBE76DC" w:rsidR="00857C0A" w:rsidRDefault="00857C0A" w:rsidP="00857C0A">
      <w:pPr>
        <w:jc w:val="both"/>
      </w:pPr>
      <w:r>
        <w:lastRenderedPageBreak/>
        <w:t xml:space="preserve">και σε συνδυασμό με τους στόχους του νέου </w:t>
      </w:r>
      <w:proofErr w:type="spellStart"/>
      <w:r>
        <w:rPr>
          <w:lang w:val="en-GB"/>
        </w:rPr>
        <w:t>fgas</w:t>
      </w:r>
      <w:proofErr w:type="spellEnd"/>
      <w:r w:rsidRPr="00857C0A">
        <w:t xml:space="preserve"> </w:t>
      </w:r>
      <w:r>
        <w:t xml:space="preserve">που θα προηγείται της εφαρμογής κατά περίπου </w:t>
      </w:r>
      <w:r w:rsidR="00A92603">
        <w:t>3</w:t>
      </w:r>
      <w:r>
        <w:t xml:space="preserve"> χρόνια, θα ήταν ένας τίμιος συμβιβασμός για όλα τα ενδιαφερόμενα μέλη ώστε να μην χάσει ο κλάδος την πρόσβαση σε </w:t>
      </w:r>
      <w:r w:rsidR="00307578">
        <w:t>«</w:t>
      </w:r>
      <w:r>
        <w:t>ακίνδυνες</w:t>
      </w:r>
      <w:r w:rsidR="00307578">
        <w:t>»</w:t>
      </w:r>
      <w:r>
        <w:t xml:space="preserve"> ουσίες.</w:t>
      </w:r>
    </w:p>
    <w:p w14:paraId="665798D0" w14:textId="781B9881" w:rsidR="00A539CD" w:rsidRPr="00BB4420" w:rsidRDefault="00A539CD" w:rsidP="00857C0A">
      <w:pPr>
        <w:jc w:val="both"/>
      </w:pPr>
      <w:r>
        <w:t>Παρό</w:t>
      </w:r>
      <w:r w:rsidR="00A92603">
        <w:t>τι</w:t>
      </w:r>
      <w:r>
        <w:t xml:space="preserve"> ο κανονισμός </w:t>
      </w:r>
      <w:proofErr w:type="spellStart"/>
      <w:r>
        <w:rPr>
          <w:lang w:val="en-GB"/>
        </w:rPr>
        <w:t>Fgas</w:t>
      </w:r>
      <w:proofErr w:type="spellEnd"/>
      <w:r w:rsidRPr="00A539CD">
        <w:t xml:space="preserve"> </w:t>
      </w:r>
      <w:r>
        <w:t xml:space="preserve">πλησιάζει στην τελική του μορφή με τις περισσότερες αλλαγές να είναι πάνω κάτω γνωστές, η αβεβαιότητα </w:t>
      </w:r>
      <w:r w:rsidR="00A92603">
        <w:t>παραμένει λόγω της 3ετούς αναμονής</w:t>
      </w:r>
      <w:r w:rsidR="00BB4420">
        <w:t xml:space="preserve"> αναθεώρηση</w:t>
      </w:r>
      <w:r w:rsidR="00A92603">
        <w:t>ς</w:t>
      </w:r>
      <w:r w:rsidR="00BB4420">
        <w:t xml:space="preserve"> του</w:t>
      </w:r>
      <w:r w:rsidR="00BB4420" w:rsidRPr="00BB4420">
        <w:t xml:space="preserve"> </w:t>
      </w:r>
      <w:r w:rsidR="00BB4420">
        <w:rPr>
          <w:lang w:val="en-GB"/>
        </w:rPr>
        <w:t>REACH</w:t>
      </w:r>
      <w:r w:rsidR="00F967C6">
        <w:t xml:space="preserve">. Η </w:t>
      </w:r>
      <w:r w:rsidR="00A92603">
        <w:t xml:space="preserve">επόμενη </w:t>
      </w:r>
      <w:r w:rsidR="00F967C6">
        <w:t xml:space="preserve">περίοδος </w:t>
      </w:r>
      <w:r w:rsidR="00A92603">
        <w:t xml:space="preserve">των </w:t>
      </w:r>
      <w:r>
        <w:t xml:space="preserve">3 </w:t>
      </w:r>
      <w:r w:rsidR="00A92603">
        <w:t xml:space="preserve">αυτών </w:t>
      </w:r>
      <w:r w:rsidR="00F967C6">
        <w:t xml:space="preserve">χρόνων </w:t>
      </w:r>
      <w:r w:rsidR="00A92603">
        <w:t xml:space="preserve">θα μείνει </w:t>
      </w:r>
      <w:r w:rsidR="00F967C6">
        <w:t xml:space="preserve">γνωστή και ως «Το μεγάλο παζάρι για την επιβίωση των φθοριούχων ψυκτικών ρευστών» </w:t>
      </w:r>
      <w:r w:rsidR="00A92603">
        <w:t xml:space="preserve">και </w:t>
      </w:r>
      <w:r w:rsidR="00F967C6">
        <w:t xml:space="preserve">έχει </w:t>
      </w:r>
      <w:r w:rsidR="00A92603">
        <w:t xml:space="preserve">ήδη </w:t>
      </w:r>
      <w:r w:rsidR="00F967C6">
        <w:t xml:space="preserve">οδηγήσει πολλούς </w:t>
      </w:r>
      <w:r w:rsidR="00F967C6">
        <w:t>κατασκευασ</w:t>
      </w:r>
      <w:r w:rsidR="00F967C6">
        <w:t>τές</w:t>
      </w:r>
      <w:r w:rsidR="00F967C6">
        <w:t xml:space="preserve"> συστημάτων κλιματισμού και αντλιών θερμότητας</w:t>
      </w:r>
      <w:r w:rsidR="00F967C6">
        <w:t xml:space="preserve"> στην </w:t>
      </w:r>
      <w:r w:rsidR="00BB4420">
        <w:t xml:space="preserve">δύσκολη απόφαση να </w:t>
      </w:r>
      <w:r w:rsidR="00F967C6">
        <w:t>υιοθ</w:t>
      </w:r>
      <w:r w:rsidR="00BB4420">
        <w:t>ετήσουν</w:t>
      </w:r>
      <w:r w:rsidR="00F967C6">
        <w:t xml:space="preserve"> το </w:t>
      </w:r>
      <w:r w:rsidR="00F967C6">
        <w:rPr>
          <w:lang w:val="en-GB"/>
        </w:rPr>
        <w:t>R</w:t>
      </w:r>
      <w:r w:rsidR="00F967C6" w:rsidRPr="00F967C6">
        <w:t>290</w:t>
      </w:r>
      <w:r w:rsidR="00F967C6">
        <w:t xml:space="preserve"> ως το «μελλοντικό» ψυκτικό ρευστό</w:t>
      </w:r>
      <w:r w:rsidR="00BB4420">
        <w:t xml:space="preserve"> για συστήματα με πλήρωση ως 5</w:t>
      </w:r>
      <w:r w:rsidR="00BB4420">
        <w:rPr>
          <w:lang w:val="en-GB"/>
        </w:rPr>
        <w:t>kg</w:t>
      </w:r>
      <w:r w:rsidR="00BB4420" w:rsidRPr="00BB4420">
        <w:t xml:space="preserve"> </w:t>
      </w:r>
      <w:r w:rsidR="00BB4420">
        <w:t xml:space="preserve">ρευστού ανά κύκλωμα. </w:t>
      </w:r>
    </w:p>
    <w:p w14:paraId="1B66601F" w14:textId="677093C1" w:rsidR="002F3BD9" w:rsidRDefault="002F3BD9" w:rsidP="006C001B">
      <w:pPr>
        <w:jc w:val="both"/>
        <w:rPr>
          <w:highlight w:val="yellow"/>
        </w:rPr>
      </w:pPr>
    </w:p>
    <w:p w14:paraId="64E15304" w14:textId="77777777" w:rsidR="003E2E0D" w:rsidRPr="002D6686" w:rsidRDefault="003E2E0D" w:rsidP="006C001B">
      <w:pPr>
        <w:jc w:val="both"/>
        <w:rPr>
          <w:highlight w:val="yellow"/>
          <w:lang w:val="en-GB"/>
        </w:rPr>
      </w:pPr>
    </w:p>
    <w:p w14:paraId="41452C84" w14:textId="7369426A" w:rsidR="00126107" w:rsidRPr="00645B21" w:rsidRDefault="00126107" w:rsidP="00126107">
      <w:pPr>
        <w:pStyle w:val="Heading2"/>
        <w:jc w:val="both"/>
      </w:pPr>
      <w:r w:rsidRPr="000A140B">
        <w:rPr>
          <w:lang w:val="en-GB"/>
        </w:rPr>
        <w:t>ECODESIGN</w:t>
      </w:r>
      <w:r w:rsidR="007B69CA" w:rsidRPr="00645B21">
        <w:t xml:space="preserve"> (</w:t>
      </w:r>
      <w:r w:rsidR="007B69CA" w:rsidRPr="000A140B">
        <w:rPr>
          <w:lang w:val="en-GB"/>
        </w:rPr>
        <w:t>ENTR</w:t>
      </w:r>
      <w:r w:rsidR="007B69CA" w:rsidRPr="00645B21">
        <w:t xml:space="preserve"> </w:t>
      </w:r>
      <w:r w:rsidR="007B69CA" w:rsidRPr="000A140B">
        <w:rPr>
          <w:lang w:val="en-GB"/>
        </w:rPr>
        <w:t>Lot</w:t>
      </w:r>
      <w:r w:rsidR="007B69CA" w:rsidRPr="00645B21">
        <w:t>1)</w:t>
      </w:r>
    </w:p>
    <w:p w14:paraId="2FFA3A1B" w14:textId="160B79F9" w:rsidR="000A140B" w:rsidRDefault="000A140B" w:rsidP="00126107">
      <w:pPr>
        <w:jc w:val="both"/>
      </w:pPr>
      <w:r w:rsidRPr="000A140B">
        <w:t>Η πορεία αναθεώρησης του ΕΚ2015/1095</w:t>
      </w:r>
      <w:r w:rsidR="0024582D">
        <w:t xml:space="preserve">, </w:t>
      </w:r>
      <w:r w:rsidR="00674522">
        <w:t xml:space="preserve">του κανονισμού δηλαδή </w:t>
      </w:r>
      <w:r w:rsidR="0024582D">
        <w:t>για τ</w:t>
      </w:r>
      <w:r w:rsidR="0024582D" w:rsidRPr="0024582D">
        <w:t xml:space="preserve">ις απαιτήσεις οικολογικού σχεδιασμού για τα επαγγελματικά ερμάρια αποθήκευσης, τους </w:t>
      </w:r>
      <w:proofErr w:type="spellStart"/>
      <w:r w:rsidR="0024582D" w:rsidRPr="0024582D">
        <w:t>ταχυψύκτες</w:t>
      </w:r>
      <w:proofErr w:type="spellEnd"/>
      <w:r w:rsidR="0024582D">
        <w:t xml:space="preserve"> </w:t>
      </w:r>
      <w:r w:rsidR="0024582D" w:rsidRPr="0024582D">
        <w:t>/</w:t>
      </w:r>
      <w:r w:rsidR="0024582D">
        <w:t xml:space="preserve"> </w:t>
      </w:r>
      <w:proofErr w:type="spellStart"/>
      <w:r w:rsidR="0024582D" w:rsidRPr="0024582D">
        <w:t>ταχυκαταψύκτες</w:t>
      </w:r>
      <w:proofErr w:type="spellEnd"/>
      <w:r w:rsidR="0024582D" w:rsidRPr="0024582D">
        <w:t>, τις συμπυκνωτικές μονάδες (</w:t>
      </w:r>
      <w:r w:rsidR="0024582D" w:rsidRPr="0024582D">
        <w:rPr>
          <w:lang w:val="en-GB"/>
        </w:rPr>
        <w:t>condensing</w:t>
      </w:r>
      <w:r w:rsidR="0024582D" w:rsidRPr="0024582D">
        <w:t xml:space="preserve"> </w:t>
      </w:r>
      <w:r w:rsidR="0024582D" w:rsidRPr="0024582D">
        <w:rPr>
          <w:lang w:val="en-GB"/>
        </w:rPr>
        <w:t>units</w:t>
      </w:r>
      <w:r w:rsidR="0024582D" w:rsidRPr="0024582D">
        <w:t>) και τους ψύκτες διεργασιών</w:t>
      </w:r>
      <w:r w:rsidR="0024582D">
        <w:t xml:space="preserve">, είναι σε εξέλιξη. </w:t>
      </w:r>
      <w:r w:rsidR="00AA26A9">
        <w:t>Να σημειωθεί πως ο συγκεκριμένος κανονισμός καλύπτει όχι μόνο την μαζική παραγωγή άλλα ακόμα και ειδικές κατασκευές χωρίς να λαμβάνει υπόψη το «μέγεθος» του κατασκευαστή.</w:t>
      </w:r>
    </w:p>
    <w:p w14:paraId="4224753E" w14:textId="5E3E4C5E" w:rsidR="009E0D95" w:rsidRDefault="00AA26A9" w:rsidP="00126107">
      <w:pPr>
        <w:jc w:val="both"/>
      </w:pPr>
      <w:r>
        <w:t>Οι περισσότερες</w:t>
      </w:r>
      <w:r w:rsidR="0024582D">
        <w:t xml:space="preserve"> προτάσεις </w:t>
      </w:r>
      <w:r>
        <w:t xml:space="preserve">που έχουν υποβληθεί </w:t>
      </w:r>
      <w:r w:rsidR="0024582D">
        <w:t xml:space="preserve">ζητούν πολύ υψηλότερα όρια αποδόσεων </w:t>
      </w:r>
      <w:r>
        <w:t>από τα τωρινά</w:t>
      </w:r>
      <w:r w:rsidR="0024582D">
        <w:t xml:space="preserve"> με συνέπεια </w:t>
      </w:r>
      <w:r>
        <w:t>οι</w:t>
      </w:r>
      <w:r w:rsidR="0024582D">
        <w:t xml:space="preserve"> </w:t>
      </w:r>
      <w:r>
        <w:t xml:space="preserve">μονάδες που ήδη βρίσκονται στην αγορά </w:t>
      </w:r>
      <w:r w:rsidR="0024582D">
        <w:t xml:space="preserve">να μην είναι δυνατό να «περάσουν» το όριο ούτε </w:t>
      </w:r>
      <w:r>
        <w:t>σ</w:t>
      </w:r>
      <w:r w:rsidR="0024582D">
        <w:t xml:space="preserve">το 10% των </w:t>
      </w:r>
      <w:r>
        <w:t>συνολικού αριθμού</w:t>
      </w:r>
      <w:r w:rsidR="0024582D">
        <w:t xml:space="preserve"> και να πρέπει να απαγορευτούν ακόμα και τεχνολογικά εξελιγμένες μονάδες με «φυσικά ψυκτικά ρευστά». </w:t>
      </w:r>
    </w:p>
    <w:p w14:paraId="0C78E268" w14:textId="77777777" w:rsidR="00EB31B7" w:rsidRPr="00432079" w:rsidRDefault="00EB31B7" w:rsidP="00126107">
      <w:pPr>
        <w:jc w:val="both"/>
      </w:pPr>
    </w:p>
    <w:p w14:paraId="5E9D480F" w14:textId="47570491" w:rsidR="003F095C" w:rsidRPr="003F095C" w:rsidRDefault="009E0D95" w:rsidP="00126107">
      <w:pPr>
        <w:jc w:val="both"/>
      </w:pPr>
      <w:r>
        <w:t xml:space="preserve">Μία από τις αρχικές </w:t>
      </w:r>
      <w:r w:rsidR="003F095C">
        <w:t>απα</w:t>
      </w:r>
      <w:r>
        <w:t>ι</w:t>
      </w:r>
      <w:r w:rsidR="003F095C">
        <w:t>τ</w:t>
      </w:r>
      <w:r>
        <w:t>ή</w:t>
      </w:r>
      <w:r w:rsidR="003F095C">
        <w:t>σ</w:t>
      </w:r>
      <w:r>
        <w:t>εις</w:t>
      </w:r>
      <w:r w:rsidR="003F095C">
        <w:t xml:space="preserve"> </w:t>
      </w:r>
      <w:r>
        <w:t>ήταν η</w:t>
      </w:r>
      <w:r w:rsidR="003F095C">
        <w:t xml:space="preserve"> ένταξη των ψυκτικών θαλάμων</w:t>
      </w:r>
      <w:r w:rsidRPr="009E0D95">
        <w:t xml:space="preserve"> (</w:t>
      </w:r>
      <w:r>
        <w:rPr>
          <w:lang w:val="en-GB"/>
        </w:rPr>
        <w:t>Walk</w:t>
      </w:r>
      <w:r w:rsidRPr="009E0D95">
        <w:t xml:space="preserve"> </w:t>
      </w:r>
      <w:r>
        <w:rPr>
          <w:lang w:val="en-GB"/>
        </w:rPr>
        <w:t>In</w:t>
      </w:r>
      <w:r w:rsidRPr="009E0D95">
        <w:t xml:space="preserve"> </w:t>
      </w:r>
      <w:r>
        <w:rPr>
          <w:lang w:val="en-GB"/>
        </w:rPr>
        <w:t>Cold</w:t>
      </w:r>
      <w:r w:rsidRPr="009E0D95">
        <w:t xml:space="preserve"> </w:t>
      </w:r>
      <w:r>
        <w:rPr>
          <w:lang w:val="en-GB"/>
        </w:rPr>
        <w:t>Rooms</w:t>
      </w:r>
      <w:r w:rsidRPr="009E0D95">
        <w:t xml:space="preserve"> - </w:t>
      </w:r>
      <w:r>
        <w:rPr>
          <w:lang w:val="en-GB"/>
        </w:rPr>
        <w:t>WICR</w:t>
      </w:r>
      <w:r>
        <w:t xml:space="preserve">) εσωτερικού </w:t>
      </w:r>
      <w:r w:rsidR="003F095C">
        <w:t>όγκου από 0,5 έως 2000</w:t>
      </w:r>
      <w:r w:rsidR="003F095C">
        <w:rPr>
          <w:lang w:val="en-GB"/>
        </w:rPr>
        <w:t>m</w:t>
      </w:r>
      <w:r w:rsidR="003F095C" w:rsidRPr="009E0D95">
        <w:rPr>
          <w:vertAlign w:val="superscript"/>
        </w:rPr>
        <w:t>3</w:t>
      </w:r>
      <w:r w:rsidR="003F095C" w:rsidRPr="003F095C">
        <w:t xml:space="preserve"> </w:t>
      </w:r>
      <w:r w:rsidR="003F095C">
        <w:t xml:space="preserve">στο σύστημα πιστοποιήσεων του </w:t>
      </w:r>
      <w:proofErr w:type="spellStart"/>
      <w:r w:rsidR="003F095C">
        <w:rPr>
          <w:lang w:val="en-GB"/>
        </w:rPr>
        <w:t>ecodesign</w:t>
      </w:r>
      <w:proofErr w:type="spellEnd"/>
      <w:r>
        <w:t>. Αν αυτή η πρόταση έμπαινε σε</w:t>
      </w:r>
      <w:r w:rsidR="003F095C" w:rsidRPr="003F095C">
        <w:t xml:space="preserve"> </w:t>
      </w:r>
      <w:r>
        <w:t xml:space="preserve">ισχύ θα είχε </w:t>
      </w:r>
      <w:r w:rsidR="003F095C">
        <w:t xml:space="preserve">άμεσες συνέπειες </w:t>
      </w:r>
      <w:r>
        <w:t>σ</w:t>
      </w:r>
      <w:r w:rsidR="003F095C">
        <w:t>τους ίδιους τους τεχνικούς εγκαταστάτες</w:t>
      </w:r>
      <w:r>
        <w:t xml:space="preserve"> μιας και θα απαιτούσε από τον ίδιο τον τεχνικό να πιστοποιήσει την απόδοση του ψυκτικού θαλάμου που </w:t>
      </w:r>
      <w:r w:rsidR="00615EF3">
        <w:t>κατασκευάζει</w:t>
      </w:r>
      <w:r>
        <w:t xml:space="preserve">, μια πιστοποίηση που θεωρώ θα ήταν πέρα από τις δυνάμεις του 99% των τεχνικών και εταιρειών </w:t>
      </w:r>
      <w:r w:rsidR="00F967C6">
        <w:t>της Ευρωπαϊκής</w:t>
      </w:r>
      <w:r>
        <w:t xml:space="preserve"> αγοράς. Το ευτύχημα είναι πως λόγω της δυσκολίας του συγκεκριμένου εγχειρήματος και της δυσκολίας ανάδειξης του υπεύθυνου κατασκευαστή του θαλάμου,  δεν προχώρησε και αφαιρέθηκε προς στιγμή από τις διαβουλεύσεις με πιθανή την απόσυρση της ιδέας για την παρούσα τουλάχιστον αναθεώρηση.</w:t>
      </w:r>
    </w:p>
    <w:p w14:paraId="738077D5" w14:textId="4B052C60" w:rsidR="0024582D" w:rsidRDefault="0024582D" w:rsidP="00126107">
      <w:pPr>
        <w:jc w:val="both"/>
      </w:pPr>
      <w:r>
        <w:t xml:space="preserve">Ο δρόμος είναι μακρύς και το χρονοδιάγραμμα δεν είναι </w:t>
      </w:r>
      <w:r w:rsidR="009E0D95">
        <w:t xml:space="preserve">ακόμα </w:t>
      </w:r>
      <w:r>
        <w:t xml:space="preserve">ξεκάθαρο </w:t>
      </w:r>
      <w:r w:rsidR="003F095C">
        <w:t>αλλά οι προτάσεις που επαναλαμβάνονται μέχρι στιγμής έχουν ως εξής:</w:t>
      </w:r>
    </w:p>
    <w:p w14:paraId="208445FB" w14:textId="7BB98D93" w:rsidR="009E0D95" w:rsidRDefault="00674522" w:rsidP="009E0D95">
      <w:pPr>
        <w:pStyle w:val="ListParagraph"/>
        <w:numPr>
          <w:ilvl w:val="0"/>
          <w:numId w:val="23"/>
        </w:numPr>
        <w:jc w:val="both"/>
      </w:pPr>
      <w:r>
        <w:t>Μεγάλη α</w:t>
      </w:r>
      <w:r w:rsidR="009E0D95">
        <w:t>ύξηση των ορίων απόδοσης σε όλες τις κατηγορίες μηχανών που καλύπτονται από τον κανονισμό</w:t>
      </w:r>
      <w:r w:rsidR="00B844A9">
        <w:t>.</w:t>
      </w:r>
    </w:p>
    <w:p w14:paraId="62FCB2B6" w14:textId="00EA521B" w:rsidR="009E0D95" w:rsidRDefault="009E0D95" w:rsidP="009E0D95">
      <w:pPr>
        <w:pStyle w:val="ListParagraph"/>
        <w:numPr>
          <w:ilvl w:val="0"/>
          <w:numId w:val="23"/>
        </w:numPr>
        <w:jc w:val="both"/>
      </w:pPr>
      <w:r>
        <w:t xml:space="preserve">Εφαρμογή </w:t>
      </w:r>
      <w:r w:rsidR="004E6D6B">
        <w:t>κλίμακας</w:t>
      </w:r>
      <w:r>
        <w:t xml:space="preserve"> απόδοσης για τις συμπυκνωτικές μονάδες</w:t>
      </w:r>
      <w:r w:rsidR="004E6D6B">
        <w:t xml:space="preserve"> με ενεργειακή ετικέτα (</w:t>
      </w:r>
      <w:r w:rsidR="004E6D6B">
        <w:rPr>
          <w:lang w:val="en-GB"/>
        </w:rPr>
        <w:t>A</w:t>
      </w:r>
      <w:r w:rsidR="004E6D6B" w:rsidRPr="004E6D6B">
        <w:t>,</w:t>
      </w:r>
      <w:r w:rsidR="004E6D6B">
        <w:rPr>
          <w:lang w:val="en-GB"/>
        </w:rPr>
        <w:t>B</w:t>
      </w:r>
      <w:r w:rsidR="004E6D6B" w:rsidRPr="004E6D6B">
        <w:t>,</w:t>
      </w:r>
      <w:r w:rsidR="004E6D6B">
        <w:rPr>
          <w:lang w:val="en-GB"/>
        </w:rPr>
        <w:t>C</w:t>
      </w:r>
      <w:r w:rsidR="004E6D6B" w:rsidRPr="004E6D6B">
        <w:t>,</w:t>
      </w:r>
      <w:r w:rsidR="004E6D6B">
        <w:rPr>
          <w:lang w:val="en-GB"/>
        </w:rPr>
        <w:t>D</w:t>
      </w:r>
      <w:r w:rsidR="004E6D6B" w:rsidRPr="004E6D6B">
        <w:t>,</w:t>
      </w:r>
      <w:r w:rsidR="004E6D6B">
        <w:rPr>
          <w:lang w:val="en-GB"/>
        </w:rPr>
        <w:t>E</w:t>
      </w:r>
      <w:r w:rsidR="004E6D6B">
        <w:t>) στα πρότυπα των οικιακών συσκευών</w:t>
      </w:r>
      <w:r w:rsidR="00B844A9">
        <w:t>.</w:t>
      </w:r>
    </w:p>
    <w:p w14:paraId="70BA7D4E" w14:textId="5629AFA5" w:rsidR="00126107" w:rsidRPr="00B844A9" w:rsidRDefault="00B844A9" w:rsidP="00126107">
      <w:pPr>
        <w:pStyle w:val="ListParagraph"/>
        <w:numPr>
          <w:ilvl w:val="0"/>
          <w:numId w:val="20"/>
        </w:numPr>
        <w:jc w:val="both"/>
      </w:pPr>
      <w:r w:rsidRPr="00B844A9">
        <w:t>Κ</w:t>
      </w:r>
      <w:r w:rsidR="00126107" w:rsidRPr="00B844A9">
        <w:t xml:space="preserve">ατάργηση του </w:t>
      </w:r>
      <w:r w:rsidR="00126107" w:rsidRPr="00B844A9">
        <w:rPr>
          <w:lang w:val="en-GB"/>
        </w:rPr>
        <w:t>bonus</w:t>
      </w:r>
      <w:r w:rsidR="00126107" w:rsidRPr="00B844A9">
        <w:t xml:space="preserve"> στην υπολογιζόμενη απόδοση σε συστήματα με </w:t>
      </w:r>
      <w:r w:rsidR="00126107" w:rsidRPr="00B844A9">
        <w:rPr>
          <w:lang w:val="en-GB"/>
        </w:rPr>
        <w:t>GWP</w:t>
      </w:r>
      <w:r w:rsidR="00126107" w:rsidRPr="00B844A9">
        <w:t>&lt;150</w:t>
      </w:r>
      <w:r w:rsidR="0048413E" w:rsidRPr="00B844A9">
        <w:t>.</w:t>
      </w:r>
    </w:p>
    <w:p w14:paraId="3D66199D" w14:textId="472A373E" w:rsidR="00126107" w:rsidRDefault="00EB31B7" w:rsidP="00126107">
      <w:pPr>
        <w:pStyle w:val="ListParagraph"/>
        <w:numPr>
          <w:ilvl w:val="0"/>
          <w:numId w:val="20"/>
        </w:numPr>
        <w:jc w:val="both"/>
      </w:pPr>
      <w:r>
        <w:t>Δ</w:t>
      </w:r>
      <w:r w:rsidR="00126107" w:rsidRPr="00B844A9">
        <w:t>ιεύρυνση</w:t>
      </w:r>
      <w:r w:rsidR="00B844A9">
        <w:t xml:space="preserve"> με νέα κατηγορία</w:t>
      </w:r>
      <w:r w:rsidR="00126107" w:rsidRPr="00B844A9">
        <w:t xml:space="preserve"> συμπυκνωτικών μονάδων </w:t>
      </w:r>
      <w:r w:rsidR="00B844A9">
        <w:t>που περιέχουν υποσύστημα ανάκτησης θερμότητας</w:t>
      </w:r>
      <w:r w:rsidR="0048413E" w:rsidRPr="00B844A9">
        <w:t>.</w:t>
      </w:r>
    </w:p>
    <w:p w14:paraId="0517EE6A" w14:textId="131858F2" w:rsidR="00B844A9" w:rsidRPr="00B844A9" w:rsidRDefault="00B844A9" w:rsidP="00126107">
      <w:pPr>
        <w:pStyle w:val="ListParagraph"/>
        <w:numPr>
          <w:ilvl w:val="0"/>
          <w:numId w:val="20"/>
        </w:numPr>
        <w:jc w:val="both"/>
      </w:pPr>
      <w:r>
        <w:t>Ένταξη στον υπολογισμό απόδοσης των υποσυστημάτων ανάκτησης θερμότητας για τους βιομηχανικούς ψύκτες διεργασιών με διοξείδιο του άνθρακα.</w:t>
      </w:r>
    </w:p>
    <w:p w14:paraId="4B80E328" w14:textId="77777777" w:rsidR="00EB31B7" w:rsidRDefault="00EB31B7" w:rsidP="00126107">
      <w:pPr>
        <w:jc w:val="both"/>
      </w:pPr>
    </w:p>
    <w:p w14:paraId="1A15E61E" w14:textId="2639F747" w:rsidR="00126107" w:rsidRPr="00EB31B7" w:rsidRDefault="00126107" w:rsidP="00126107">
      <w:pPr>
        <w:jc w:val="both"/>
      </w:pPr>
      <w:r w:rsidRPr="00EB31B7">
        <w:t xml:space="preserve">Σε γενικές γραμμές </w:t>
      </w:r>
      <w:r w:rsidR="00EB31B7">
        <w:t xml:space="preserve">η αύξηση της απόδοσης για όλες τις μηχανές και μονάδες είναι ο κύριος στόχος της αναθεώρησης καθιστώντας πρακτικά υποχρεωτική την χρήση από τους κατασκευαστές εξαρτημάτων όπως ανεμιστήρες </w:t>
      </w:r>
      <w:r w:rsidR="00EB31B7">
        <w:rPr>
          <w:lang w:val="en-GB"/>
        </w:rPr>
        <w:t>EC</w:t>
      </w:r>
      <w:r w:rsidR="00EB31B7" w:rsidRPr="00EB31B7">
        <w:t xml:space="preserve">, </w:t>
      </w:r>
      <w:r w:rsidR="00EB31B7">
        <w:t>μεταβαλλόμενη απόδοση πολλών σταδίων</w:t>
      </w:r>
      <w:r w:rsidR="00674522">
        <w:t xml:space="preserve"> στον</w:t>
      </w:r>
      <w:r w:rsidR="00EB31B7">
        <w:t xml:space="preserve"> συμπιεστή </w:t>
      </w:r>
      <w:r w:rsidR="00EB31B7" w:rsidRPr="00EB31B7">
        <w:t>(</w:t>
      </w:r>
      <w:r w:rsidR="00EB31B7">
        <w:rPr>
          <w:lang w:val="en-GB"/>
        </w:rPr>
        <w:t>frequency</w:t>
      </w:r>
      <w:r w:rsidR="00EB31B7" w:rsidRPr="00EB31B7">
        <w:t xml:space="preserve"> </w:t>
      </w:r>
      <w:r w:rsidR="00EB31B7">
        <w:rPr>
          <w:lang w:val="en-GB"/>
        </w:rPr>
        <w:t>inverter</w:t>
      </w:r>
      <w:r w:rsidR="00EB31B7" w:rsidRPr="00EB31B7">
        <w:t xml:space="preserve"> </w:t>
      </w:r>
      <w:r w:rsidR="00EB31B7">
        <w:t xml:space="preserve">ή παρόμοια τεχνολογία), ανάκτηση θερμότητας, όπου είναι εφικτό και φυσικά την αύξηση του μεγέθους και </w:t>
      </w:r>
      <w:r w:rsidR="00674522">
        <w:t xml:space="preserve">της </w:t>
      </w:r>
      <w:r w:rsidR="00EB31B7">
        <w:t xml:space="preserve">απόδοσης των εναλλακτών </w:t>
      </w:r>
      <w:r w:rsidR="00F53CE5">
        <w:t xml:space="preserve">θερμότητας </w:t>
      </w:r>
      <w:r w:rsidR="00EB31B7">
        <w:t>των συστημάτων</w:t>
      </w:r>
      <w:r w:rsidRPr="00EB31B7">
        <w:t>.</w:t>
      </w:r>
    </w:p>
    <w:p w14:paraId="6F5FB2A5" w14:textId="1D510FF5" w:rsidR="00EE4A5C" w:rsidRDefault="00EE4A5C" w:rsidP="006C001B">
      <w:pPr>
        <w:jc w:val="both"/>
      </w:pPr>
    </w:p>
    <w:p w14:paraId="49DDE57F" w14:textId="60BA1B84" w:rsidR="002D6686" w:rsidRDefault="002D6686" w:rsidP="006C001B">
      <w:pPr>
        <w:jc w:val="both"/>
      </w:pPr>
    </w:p>
    <w:p w14:paraId="4DD12CB3" w14:textId="3DA79EF4" w:rsidR="002D6686" w:rsidRPr="002D6686" w:rsidRDefault="002D6686" w:rsidP="002D6686">
      <w:pPr>
        <w:jc w:val="both"/>
      </w:pPr>
      <w:r w:rsidRPr="00EE4A5C">
        <w:t>Κλείνοντας, θα ήθελα να επισημάνω πως παρόλα τα προβλήματα και πισωγυρίσματα που έχει προκαλέσει ο πόλεμος στην Ουκρανία, η προσπάθεια απανθρακοποίησης της Ευρωπαϊκής Ένωσης συνεχίζεται με επιταχυνόμενους ρυθμούς.</w:t>
      </w:r>
      <w:r w:rsidRPr="00710B97">
        <w:t xml:space="preserve"> Ίσως γρηγορότερα σε κάποιους τομείς από ό</w:t>
      </w:r>
      <w:r w:rsidR="00432079">
        <w:t>,</w:t>
      </w:r>
      <w:r w:rsidRPr="00710B97">
        <w:t>τι θα μπορούσ</w:t>
      </w:r>
      <w:r w:rsidR="00511488">
        <w:t>αν</w:t>
      </w:r>
      <w:r w:rsidRPr="00710B97">
        <w:t xml:space="preserve"> να αντέξ</w:t>
      </w:r>
      <w:r w:rsidR="00511488">
        <w:t>ουν</w:t>
      </w:r>
      <w:r w:rsidRPr="00710B97">
        <w:t xml:space="preserve"> οι οικονομίες κάποιων μελών </w:t>
      </w:r>
      <w:r w:rsidR="00511488">
        <w:t>της</w:t>
      </w:r>
      <w:r w:rsidRPr="00710B97">
        <w:t xml:space="preserve"> και το γεγονός αυτό κάπως με τρομάζει. Παρότι χρόνιος υπέρμαχος της καθαρής ενέργειας και των πράσινων τεχνολογιών γενικότερα, παρατηρώ </w:t>
      </w:r>
      <w:r>
        <w:t>ότι</w:t>
      </w:r>
      <w:r w:rsidRPr="00710B97">
        <w:t xml:space="preserve"> πολλές πρωτοβουλίες είτε από χώρες μέλη είτε από Ευρωπαϊκούς φορείς </w:t>
      </w:r>
      <w:r>
        <w:t>πιέζουν σε βεβιασμένη</w:t>
      </w:r>
      <w:r w:rsidRPr="00710B97">
        <w:t xml:space="preserve"> εφαρμ</w:t>
      </w:r>
      <w:r>
        <w:t>ογή</w:t>
      </w:r>
      <w:r w:rsidRPr="00710B97">
        <w:t xml:space="preserve"> εξιδανικευμέν</w:t>
      </w:r>
      <w:r>
        <w:t>ων</w:t>
      </w:r>
      <w:r w:rsidRPr="00710B97">
        <w:t xml:space="preserve"> </w:t>
      </w:r>
      <w:r>
        <w:t>και φαινομενικά «</w:t>
      </w:r>
      <w:r w:rsidRPr="00710B97">
        <w:t>πράσιν</w:t>
      </w:r>
      <w:r>
        <w:t>ων</w:t>
      </w:r>
      <w:r w:rsidRPr="00710B97">
        <w:t>» λύσε</w:t>
      </w:r>
      <w:r>
        <w:t>ων</w:t>
      </w:r>
      <w:r w:rsidRPr="00710B97">
        <w:t xml:space="preserve">, </w:t>
      </w:r>
      <w:r>
        <w:t>όχι</w:t>
      </w:r>
      <w:r w:rsidRPr="00710B97">
        <w:t xml:space="preserve"> </w:t>
      </w:r>
      <w:r>
        <w:t xml:space="preserve">όμως </w:t>
      </w:r>
      <w:r w:rsidRPr="00710B97">
        <w:t>απαραίτητα βιώσιμ</w:t>
      </w:r>
      <w:r>
        <w:t>ων</w:t>
      </w:r>
      <w:r w:rsidRPr="00710B97">
        <w:t xml:space="preserve"> με την υπάρχουσα τεχνολογία</w:t>
      </w:r>
      <w:r>
        <w:t>. Αυτές οι βιαστικές κινήσεις έχουν σαν</w:t>
      </w:r>
      <w:r w:rsidRPr="00710B97">
        <w:t xml:space="preserve"> συνέπεια </w:t>
      </w:r>
      <w:r>
        <w:t xml:space="preserve">δυστυχώς </w:t>
      </w:r>
      <w:r w:rsidRPr="00710B97">
        <w:t xml:space="preserve">σοβαρές προσπάθειες όπως η υιοθέτηση αντλιών θερμότητας πανευρωπαϊκά να δυσχεραίνονται (βλέπε </w:t>
      </w:r>
      <w:proofErr w:type="spellStart"/>
      <w:r w:rsidRPr="00710B97">
        <w:rPr>
          <w:lang w:val="en-GB"/>
        </w:rPr>
        <w:t>Fgas</w:t>
      </w:r>
      <w:proofErr w:type="spellEnd"/>
      <w:r w:rsidRPr="00710B97">
        <w:t xml:space="preserve"> και </w:t>
      </w:r>
      <w:r w:rsidRPr="00710B97">
        <w:rPr>
          <w:lang w:val="en-GB"/>
        </w:rPr>
        <w:t>REACH</w:t>
      </w:r>
      <w:r>
        <w:t>).</w:t>
      </w:r>
      <w:r w:rsidRPr="002D6686">
        <w:t xml:space="preserve"> </w:t>
      </w:r>
      <w:r>
        <w:t>Ευτυχώς</w:t>
      </w:r>
      <w:r w:rsidR="00432079">
        <w:t>,</w:t>
      </w:r>
      <w:r>
        <w:t xml:space="preserve"> υπάρχουν άνθρωποι σε όλα τα επίπεδα του Ευρωπαϊκού οικοδομήματος που μπορούν και αντικρούουν τους φαντασιόπληκτους πολιτικούς και τις πολλές φορές </w:t>
      </w:r>
      <w:r>
        <w:lastRenderedPageBreak/>
        <w:t xml:space="preserve">εσφαλμένες προτάσεις τους πριν αυτές γίνουν νομοθεσία. Εν αναμονή λοιπόν του ψηφίσματος για τον νέο </w:t>
      </w:r>
      <w:proofErr w:type="spellStart"/>
      <w:r>
        <w:rPr>
          <w:lang w:val="en-GB"/>
        </w:rPr>
        <w:t>Fgas</w:t>
      </w:r>
      <w:proofErr w:type="spellEnd"/>
      <w:r>
        <w:t xml:space="preserve">, εις το </w:t>
      </w:r>
      <w:proofErr w:type="spellStart"/>
      <w:r>
        <w:t>επανιδείν</w:t>
      </w:r>
      <w:proofErr w:type="spellEnd"/>
      <w:r>
        <w:t>.</w:t>
      </w:r>
    </w:p>
    <w:p w14:paraId="5EBE83BF" w14:textId="77777777" w:rsidR="002D6686" w:rsidRDefault="002D6686" w:rsidP="006C001B">
      <w:pPr>
        <w:jc w:val="both"/>
      </w:pPr>
    </w:p>
    <w:p w14:paraId="736385A3" w14:textId="77777777" w:rsidR="00EE4A5C" w:rsidRPr="00511488" w:rsidRDefault="00EE4A5C" w:rsidP="006C001B">
      <w:pPr>
        <w:jc w:val="both"/>
        <w:rPr>
          <w:lang w:val="en-GB"/>
        </w:rPr>
      </w:pPr>
    </w:p>
    <w:p w14:paraId="0A37F06B" w14:textId="77777777" w:rsidR="00C66E45" w:rsidRDefault="007420B3" w:rsidP="0093500C">
      <w:r>
        <w:t>Πηγ</w:t>
      </w:r>
      <w:r w:rsidR="00C66E45">
        <w:t>ές:</w:t>
      </w:r>
    </w:p>
    <w:p w14:paraId="1F0063D1" w14:textId="19B72E72" w:rsidR="00F93A84" w:rsidRDefault="00C66E45" w:rsidP="00F93A84">
      <w:pPr>
        <w:pStyle w:val="ListParagraph"/>
        <w:numPr>
          <w:ilvl w:val="0"/>
          <w:numId w:val="16"/>
        </w:numPr>
      </w:pPr>
      <w:r w:rsidRPr="00C66E45">
        <w:t>Μια Ευρωπαϊκή Πράσινη Συμφωνία</w:t>
      </w:r>
      <w:r>
        <w:t xml:space="preserve"> (</w:t>
      </w:r>
      <w:hyperlink r:id="rId12" w:history="1">
        <w:r w:rsidRPr="00713B7F">
          <w:rPr>
            <w:rStyle w:val="Hyperlink"/>
            <w:lang w:val="en-GB"/>
          </w:rPr>
          <w:t>https</w:t>
        </w:r>
        <w:r w:rsidRPr="00713B7F">
          <w:rPr>
            <w:rStyle w:val="Hyperlink"/>
          </w:rPr>
          <w:t>://</w:t>
        </w:r>
        <w:proofErr w:type="spellStart"/>
        <w:r w:rsidRPr="00713B7F">
          <w:rPr>
            <w:rStyle w:val="Hyperlink"/>
            <w:lang w:val="en-GB"/>
          </w:rPr>
          <w:t>ec</w:t>
        </w:r>
        <w:proofErr w:type="spellEnd"/>
        <w:r w:rsidRPr="00713B7F">
          <w:rPr>
            <w:rStyle w:val="Hyperlink"/>
          </w:rPr>
          <w:t>.</w:t>
        </w:r>
        <w:proofErr w:type="spellStart"/>
        <w:r w:rsidRPr="00713B7F">
          <w:rPr>
            <w:rStyle w:val="Hyperlink"/>
            <w:lang w:val="en-GB"/>
          </w:rPr>
          <w:t>europa</w:t>
        </w:r>
        <w:proofErr w:type="spellEnd"/>
        <w:r w:rsidRPr="00713B7F">
          <w:rPr>
            <w:rStyle w:val="Hyperlink"/>
          </w:rPr>
          <w:t>.</w:t>
        </w:r>
        <w:proofErr w:type="spellStart"/>
        <w:r w:rsidRPr="00713B7F">
          <w:rPr>
            <w:rStyle w:val="Hyperlink"/>
            <w:lang w:val="en-GB"/>
          </w:rPr>
          <w:t>eu</w:t>
        </w:r>
        <w:proofErr w:type="spellEnd"/>
        <w:r w:rsidRPr="00713B7F">
          <w:rPr>
            <w:rStyle w:val="Hyperlink"/>
          </w:rPr>
          <w:t>/</w:t>
        </w:r>
        <w:r w:rsidRPr="00713B7F">
          <w:rPr>
            <w:rStyle w:val="Hyperlink"/>
            <w:lang w:val="en-GB"/>
          </w:rPr>
          <w:t>info</w:t>
        </w:r>
        <w:r w:rsidRPr="00713B7F">
          <w:rPr>
            <w:rStyle w:val="Hyperlink"/>
          </w:rPr>
          <w:t>/</w:t>
        </w:r>
        <w:r w:rsidRPr="00713B7F">
          <w:rPr>
            <w:rStyle w:val="Hyperlink"/>
            <w:lang w:val="en-GB"/>
          </w:rPr>
          <w:t>strategy</w:t>
        </w:r>
        <w:r w:rsidRPr="00713B7F">
          <w:rPr>
            <w:rStyle w:val="Hyperlink"/>
          </w:rPr>
          <w:t>/</w:t>
        </w:r>
        <w:r w:rsidRPr="00713B7F">
          <w:rPr>
            <w:rStyle w:val="Hyperlink"/>
            <w:lang w:val="en-GB"/>
          </w:rPr>
          <w:t>priorities</w:t>
        </w:r>
        <w:r w:rsidRPr="00713B7F">
          <w:rPr>
            <w:rStyle w:val="Hyperlink"/>
          </w:rPr>
          <w:t>-2019-2024/</w:t>
        </w:r>
        <w:proofErr w:type="spellStart"/>
        <w:r w:rsidRPr="00713B7F">
          <w:rPr>
            <w:rStyle w:val="Hyperlink"/>
            <w:lang w:val="en-GB"/>
          </w:rPr>
          <w:t>european</w:t>
        </w:r>
        <w:proofErr w:type="spellEnd"/>
        <w:r w:rsidRPr="00713B7F">
          <w:rPr>
            <w:rStyle w:val="Hyperlink"/>
          </w:rPr>
          <w:t>-</w:t>
        </w:r>
        <w:r w:rsidRPr="00713B7F">
          <w:rPr>
            <w:rStyle w:val="Hyperlink"/>
            <w:lang w:val="en-GB"/>
          </w:rPr>
          <w:t>green</w:t>
        </w:r>
        <w:r w:rsidRPr="00713B7F">
          <w:rPr>
            <w:rStyle w:val="Hyperlink"/>
          </w:rPr>
          <w:t>-</w:t>
        </w:r>
        <w:r w:rsidRPr="00713B7F">
          <w:rPr>
            <w:rStyle w:val="Hyperlink"/>
            <w:lang w:val="en-GB"/>
          </w:rPr>
          <w:t>deal</w:t>
        </w:r>
        <w:r w:rsidRPr="00713B7F">
          <w:rPr>
            <w:rStyle w:val="Hyperlink"/>
          </w:rPr>
          <w:t>_</w:t>
        </w:r>
        <w:proofErr w:type="spellStart"/>
        <w:r w:rsidRPr="00713B7F">
          <w:rPr>
            <w:rStyle w:val="Hyperlink"/>
            <w:lang w:val="en-GB"/>
          </w:rPr>
          <w:t>el</w:t>
        </w:r>
        <w:proofErr w:type="spellEnd"/>
      </w:hyperlink>
      <w:r>
        <w:t>)</w:t>
      </w:r>
    </w:p>
    <w:p w14:paraId="17D4A760" w14:textId="19BFD09B" w:rsidR="00C66E45" w:rsidRDefault="00CC56B2" w:rsidP="0093500C">
      <w:pPr>
        <w:pStyle w:val="ListParagraph"/>
        <w:numPr>
          <w:ilvl w:val="0"/>
          <w:numId w:val="16"/>
        </w:numPr>
      </w:pPr>
      <w:r>
        <w:t>Αναθεώρηση της οδηγίας για την ενεργειακή απόδοση των κτ</w:t>
      </w:r>
      <w:r w:rsidR="008D424B">
        <w:t>ι</w:t>
      </w:r>
      <w:r>
        <w:t>ρίων (</w:t>
      </w:r>
      <w:hyperlink r:id="rId13" w:history="1">
        <w:r w:rsidRPr="00713B7F">
          <w:rPr>
            <w:rStyle w:val="Hyperlink"/>
          </w:rPr>
          <w:t>https://ec.europa.eu/commission/presscorner/detail/el/qanda_21_6686</w:t>
        </w:r>
      </w:hyperlink>
      <w:r>
        <w:t>)</w:t>
      </w:r>
    </w:p>
    <w:p w14:paraId="6EB28F17" w14:textId="74D0FFBD" w:rsidR="004C0E63" w:rsidRDefault="004C0E63" w:rsidP="0093500C">
      <w:pPr>
        <w:pStyle w:val="ListParagraph"/>
        <w:numPr>
          <w:ilvl w:val="0"/>
          <w:numId w:val="16"/>
        </w:numPr>
      </w:pPr>
      <w:r>
        <w:t xml:space="preserve">Πρόταση αναθεώρησης της οδηγίας για την ενεργειακή απόδοση των κτιρίων </w:t>
      </w:r>
      <w:hyperlink r:id="rId14" w:history="1">
        <w:r w:rsidRPr="00713B7F">
          <w:rPr>
            <w:rStyle w:val="Hyperlink"/>
          </w:rPr>
          <w:t>https://ec.europa.eu/energy/sites/default/files/proposal-recast-energy-performance-buildings-directive.pdf</w:t>
        </w:r>
      </w:hyperlink>
      <w:r>
        <w:t xml:space="preserve"> </w:t>
      </w:r>
    </w:p>
    <w:p w14:paraId="51194AAE" w14:textId="507F4A35" w:rsidR="00CC56B2" w:rsidRDefault="00CC56B2" w:rsidP="0093500C">
      <w:pPr>
        <w:pStyle w:val="ListParagraph"/>
        <w:numPr>
          <w:ilvl w:val="0"/>
          <w:numId w:val="16"/>
        </w:numPr>
      </w:pPr>
      <w:r>
        <w:t>Αναθεώρηση του ΕΚ517/2014-</w:t>
      </w:r>
      <w:proofErr w:type="spellStart"/>
      <w:r>
        <w:rPr>
          <w:lang w:val="en-GB"/>
        </w:rPr>
        <w:t>Fgas</w:t>
      </w:r>
      <w:proofErr w:type="spellEnd"/>
      <w:r w:rsidRPr="00CC56B2">
        <w:t xml:space="preserve"> (</w:t>
      </w:r>
      <w:hyperlink r:id="rId15" w:anchor="ecl-inpage-1474" w:history="1">
        <w:r w:rsidRPr="00713B7F">
          <w:rPr>
            <w:rStyle w:val="Hyperlink"/>
            <w:lang w:val="en-GB"/>
          </w:rPr>
          <w:t>https</w:t>
        </w:r>
        <w:r w:rsidRPr="00713B7F">
          <w:rPr>
            <w:rStyle w:val="Hyperlink"/>
          </w:rPr>
          <w:t>://</w:t>
        </w:r>
        <w:proofErr w:type="spellStart"/>
        <w:r w:rsidRPr="00713B7F">
          <w:rPr>
            <w:rStyle w:val="Hyperlink"/>
            <w:lang w:val="en-GB"/>
          </w:rPr>
          <w:t>ec</w:t>
        </w:r>
        <w:proofErr w:type="spellEnd"/>
        <w:r w:rsidRPr="00713B7F">
          <w:rPr>
            <w:rStyle w:val="Hyperlink"/>
          </w:rPr>
          <w:t>.</w:t>
        </w:r>
        <w:proofErr w:type="spellStart"/>
        <w:r w:rsidRPr="00713B7F">
          <w:rPr>
            <w:rStyle w:val="Hyperlink"/>
            <w:lang w:val="en-GB"/>
          </w:rPr>
          <w:t>europa</w:t>
        </w:r>
        <w:proofErr w:type="spellEnd"/>
        <w:r w:rsidRPr="00713B7F">
          <w:rPr>
            <w:rStyle w:val="Hyperlink"/>
          </w:rPr>
          <w:t>.</w:t>
        </w:r>
        <w:proofErr w:type="spellStart"/>
        <w:r w:rsidRPr="00713B7F">
          <w:rPr>
            <w:rStyle w:val="Hyperlink"/>
            <w:lang w:val="en-GB"/>
          </w:rPr>
          <w:t>eu</w:t>
        </w:r>
        <w:proofErr w:type="spellEnd"/>
        <w:r w:rsidRPr="00713B7F">
          <w:rPr>
            <w:rStyle w:val="Hyperlink"/>
          </w:rPr>
          <w:t>/</w:t>
        </w:r>
        <w:proofErr w:type="spellStart"/>
        <w:r w:rsidRPr="00713B7F">
          <w:rPr>
            <w:rStyle w:val="Hyperlink"/>
            <w:lang w:val="en-GB"/>
          </w:rPr>
          <w:t>clima</w:t>
        </w:r>
        <w:proofErr w:type="spellEnd"/>
        <w:r w:rsidRPr="00713B7F">
          <w:rPr>
            <w:rStyle w:val="Hyperlink"/>
          </w:rPr>
          <w:t>/</w:t>
        </w:r>
        <w:proofErr w:type="spellStart"/>
        <w:r w:rsidRPr="00713B7F">
          <w:rPr>
            <w:rStyle w:val="Hyperlink"/>
            <w:lang w:val="en-GB"/>
          </w:rPr>
          <w:t>eu</w:t>
        </w:r>
        <w:proofErr w:type="spellEnd"/>
        <w:r w:rsidRPr="00713B7F">
          <w:rPr>
            <w:rStyle w:val="Hyperlink"/>
          </w:rPr>
          <w:t>-</w:t>
        </w:r>
        <w:r w:rsidRPr="00713B7F">
          <w:rPr>
            <w:rStyle w:val="Hyperlink"/>
            <w:lang w:val="en-GB"/>
          </w:rPr>
          <w:t>action</w:t>
        </w:r>
        <w:r w:rsidRPr="00713B7F">
          <w:rPr>
            <w:rStyle w:val="Hyperlink"/>
          </w:rPr>
          <w:t>/</w:t>
        </w:r>
        <w:r w:rsidRPr="00713B7F">
          <w:rPr>
            <w:rStyle w:val="Hyperlink"/>
            <w:lang w:val="en-GB"/>
          </w:rPr>
          <w:t>fluorinated</w:t>
        </w:r>
        <w:r w:rsidRPr="00713B7F">
          <w:rPr>
            <w:rStyle w:val="Hyperlink"/>
          </w:rPr>
          <w:t>-</w:t>
        </w:r>
        <w:r w:rsidRPr="00713B7F">
          <w:rPr>
            <w:rStyle w:val="Hyperlink"/>
            <w:lang w:val="en-GB"/>
          </w:rPr>
          <w:t>greenhouse</w:t>
        </w:r>
        <w:r w:rsidRPr="00713B7F">
          <w:rPr>
            <w:rStyle w:val="Hyperlink"/>
          </w:rPr>
          <w:t>-</w:t>
        </w:r>
        <w:r w:rsidRPr="00713B7F">
          <w:rPr>
            <w:rStyle w:val="Hyperlink"/>
            <w:lang w:val="en-GB"/>
          </w:rPr>
          <w:t>gases</w:t>
        </w:r>
        <w:r w:rsidRPr="00713B7F">
          <w:rPr>
            <w:rStyle w:val="Hyperlink"/>
          </w:rPr>
          <w:t>/</w:t>
        </w:r>
        <w:proofErr w:type="spellStart"/>
        <w:r w:rsidRPr="00713B7F">
          <w:rPr>
            <w:rStyle w:val="Hyperlink"/>
            <w:lang w:val="en-GB"/>
          </w:rPr>
          <w:t>eu</w:t>
        </w:r>
        <w:proofErr w:type="spellEnd"/>
        <w:r w:rsidRPr="00713B7F">
          <w:rPr>
            <w:rStyle w:val="Hyperlink"/>
          </w:rPr>
          <w:t>-</w:t>
        </w:r>
        <w:r w:rsidRPr="00713B7F">
          <w:rPr>
            <w:rStyle w:val="Hyperlink"/>
            <w:lang w:val="en-GB"/>
          </w:rPr>
          <w:t>legislation</w:t>
        </w:r>
        <w:r w:rsidRPr="00713B7F">
          <w:rPr>
            <w:rStyle w:val="Hyperlink"/>
          </w:rPr>
          <w:t>-</w:t>
        </w:r>
        <w:r w:rsidRPr="00713B7F">
          <w:rPr>
            <w:rStyle w:val="Hyperlink"/>
            <w:lang w:val="en-GB"/>
          </w:rPr>
          <w:t>control</w:t>
        </w:r>
        <w:r w:rsidRPr="00713B7F">
          <w:rPr>
            <w:rStyle w:val="Hyperlink"/>
          </w:rPr>
          <w:t>-</w:t>
        </w:r>
        <w:r w:rsidRPr="00713B7F">
          <w:rPr>
            <w:rStyle w:val="Hyperlink"/>
            <w:lang w:val="en-GB"/>
          </w:rPr>
          <w:t>f</w:t>
        </w:r>
        <w:r w:rsidRPr="00713B7F">
          <w:rPr>
            <w:rStyle w:val="Hyperlink"/>
          </w:rPr>
          <w:t>-</w:t>
        </w:r>
        <w:r w:rsidRPr="00713B7F">
          <w:rPr>
            <w:rStyle w:val="Hyperlink"/>
            <w:lang w:val="en-GB"/>
          </w:rPr>
          <w:t>gases</w:t>
        </w:r>
        <w:r w:rsidRPr="00713B7F">
          <w:rPr>
            <w:rStyle w:val="Hyperlink"/>
          </w:rPr>
          <w:t>_</w:t>
        </w:r>
        <w:proofErr w:type="spellStart"/>
        <w:r w:rsidRPr="00713B7F">
          <w:rPr>
            <w:rStyle w:val="Hyperlink"/>
            <w:lang w:val="en-GB"/>
          </w:rPr>
          <w:t>el</w:t>
        </w:r>
        <w:proofErr w:type="spellEnd"/>
        <w:r w:rsidRPr="00713B7F">
          <w:rPr>
            <w:rStyle w:val="Hyperlink"/>
          </w:rPr>
          <w:t>#</w:t>
        </w:r>
        <w:proofErr w:type="spellStart"/>
        <w:r w:rsidRPr="00713B7F">
          <w:rPr>
            <w:rStyle w:val="Hyperlink"/>
            <w:lang w:val="en-GB"/>
          </w:rPr>
          <w:t>ecl</w:t>
        </w:r>
        <w:proofErr w:type="spellEnd"/>
        <w:r w:rsidRPr="00713B7F">
          <w:rPr>
            <w:rStyle w:val="Hyperlink"/>
          </w:rPr>
          <w:t>-</w:t>
        </w:r>
        <w:proofErr w:type="spellStart"/>
        <w:r w:rsidRPr="00713B7F">
          <w:rPr>
            <w:rStyle w:val="Hyperlink"/>
            <w:lang w:val="en-GB"/>
          </w:rPr>
          <w:t>inpage</w:t>
        </w:r>
        <w:proofErr w:type="spellEnd"/>
        <w:r w:rsidRPr="00713B7F">
          <w:rPr>
            <w:rStyle w:val="Hyperlink"/>
          </w:rPr>
          <w:t>-1474</w:t>
        </w:r>
      </w:hyperlink>
      <w:r w:rsidRPr="00CC56B2">
        <w:t>)</w:t>
      </w:r>
    </w:p>
    <w:p w14:paraId="099083BC" w14:textId="237D7A2C" w:rsidR="00CC56B2" w:rsidRDefault="00CC56B2" w:rsidP="0093500C">
      <w:pPr>
        <w:pStyle w:val="ListParagraph"/>
        <w:numPr>
          <w:ilvl w:val="0"/>
          <w:numId w:val="16"/>
        </w:numPr>
      </w:pPr>
      <w:r>
        <w:t xml:space="preserve">Αναθεώρηση του κανονισμού </w:t>
      </w:r>
      <w:r>
        <w:rPr>
          <w:lang w:val="en-GB"/>
        </w:rPr>
        <w:t>REACH</w:t>
      </w:r>
      <w:r w:rsidRPr="00CC56B2">
        <w:t xml:space="preserve"> </w:t>
      </w:r>
      <w:r>
        <w:t>για τα χημικά προϊόντα (</w:t>
      </w:r>
      <w:hyperlink r:id="rId16" w:history="1">
        <w:r w:rsidRPr="00713B7F">
          <w:rPr>
            <w:rStyle w:val="Hyperlink"/>
          </w:rPr>
          <w:t>https://ec.europa.eu/info/law/better-regulation/have-your-say/initiatives/12959-Chemicals-legislation-revision-of-REACH-Regulation-to-help-achieve-a-toxic-free-environment_en</w:t>
        </w:r>
      </w:hyperlink>
      <w:r>
        <w:t>)</w:t>
      </w:r>
    </w:p>
    <w:p w14:paraId="1FC4AAA6" w14:textId="00872B7C" w:rsidR="00F93A84" w:rsidRDefault="00F93A84" w:rsidP="0093500C">
      <w:pPr>
        <w:pStyle w:val="ListParagraph"/>
        <w:numPr>
          <w:ilvl w:val="0"/>
          <w:numId w:val="16"/>
        </w:numPr>
      </w:pPr>
      <w:r>
        <w:t xml:space="preserve">Ενεργειακή απόδοση και κυκλική οικονομία </w:t>
      </w:r>
      <w:r w:rsidRPr="00F93A84">
        <w:t>(</w:t>
      </w:r>
      <w:hyperlink r:id="rId17" w:history="1">
        <w:r w:rsidRPr="00713B7F">
          <w:rPr>
            <w:rStyle w:val="Hyperlink"/>
          </w:rPr>
          <w:t>https://ec.europa.eu/info/law/better-regulation/have-your-say/initiatives/12852-Energy-efficiency-and-circular-economy-ecodesign-and-energy-labelling-working-plan-2020-2024_en</w:t>
        </w:r>
      </w:hyperlink>
      <w:r w:rsidRPr="00F93A84">
        <w:t>)</w:t>
      </w:r>
    </w:p>
    <w:p w14:paraId="5AD871A0" w14:textId="05EFE846" w:rsidR="00983B05" w:rsidRPr="00983B05" w:rsidRDefault="00983B05" w:rsidP="00983B05">
      <w:pPr>
        <w:pStyle w:val="ListParagraph"/>
        <w:numPr>
          <w:ilvl w:val="0"/>
          <w:numId w:val="16"/>
        </w:numPr>
        <w:rPr>
          <w:lang w:val="en-GB"/>
        </w:rPr>
      </w:pPr>
      <w:r w:rsidRPr="00983B05">
        <w:rPr>
          <w:lang w:val="en-GB"/>
        </w:rPr>
        <w:t>Review study Ecodesign &amp; EU energy label of Professional Refrigeration Products (</w:t>
      </w:r>
      <w:hyperlink r:id="rId18" w:history="1">
        <w:r w:rsidRPr="00983B05">
          <w:rPr>
            <w:rStyle w:val="Hyperlink"/>
            <w:lang w:val="en-GB"/>
          </w:rPr>
          <w:t>https://www.ecoprorefrigeration.eu/documents.htm</w:t>
        </w:r>
      </w:hyperlink>
      <w:r w:rsidRPr="00983B05">
        <w:rPr>
          <w:lang w:val="en-GB"/>
        </w:rPr>
        <w:t>)</w:t>
      </w:r>
    </w:p>
    <w:p w14:paraId="16951DFD" w14:textId="13C0D9FC" w:rsidR="00CC56B2" w:rsidRDefault="002B5C4C" w:rsidP="0093500C">
      <w:pPr>
        <w:pStyle w:val="ListParagraph"/>
        <w:numPr>
          <w:ilvl w:val="0"/>
          <w:numId w:val="16"/>
        </w:numPr>
      </w:pPr>
      <w:r>
        <w:t xml:space="preserve">Πολλαπλές συμμετοχές σε </w:t>
      </w:r>
      <w:r w:rsidR="00F93A84">
        <w:t xml:space="preserve">συζητήσεις, </w:t>
      </w:r>
      <w:r>
        <w:t>διαβουλεύσεις και επιτροπές</w:t>
      </w:r>
    </w:p>
    <w:p w14:paraId="169954D3" w14:textId="1357E1AC" w:rsidR="000F6CA3" w:rsidRDefault="000F6CA3" w:rsidP="0093500C"/>
    <w:p w14:paraId="2D792DBF" w14:textId="1CDCBCF3" w:rsidR="000F6CA3" w:rsidRDefault="000F6CA3" w:rsidP="0093500C"/>
    <w:p w14:paraId="5B497178" w14:textId="2B92F577" w:rsidR="000F6CA3" w:rsidRDefault="000F6CA3" w:rsidP="00152F29"/>
    <w:p w14:paraId="3ECCE3A1" w14:textId="77777777" w:rsidR="0003204B" w:rsidRPr="00152F29" w:rsidRDefault="0003204B" w:rsidP="00152F29">
      <w:r w:rsidRPr="00152F29">
        <w:t>Δημήτρης Ταΐρης</w:t>
      </w:r>
      <w:r w:rsidR="00AE7C67" w:rsidRPr="00152F29">
        <w:t xml:space="preserve"> </w:t>
      </w:r>
      <w:proofErr w:type="spellStart"/>
      <w:r w:rsidR="00AE7C67" w:rsidRPr="00152F29">
        <w:t>BEng</w:t>
      </w:r>
      <w:proofErr w:type="spellEnd"/>
      <w:r w:rsidR="00AE7C67" w:rsidRPr="00152F29">
        <w:t xml:space="preserve">, </w:t>
      </w:r>
      <w:r w:rsidR="00AE7C67" w:rsidRPr="00152F29">
        <w:rPr>
          <w:lang w:val="en-GB"/>
        </w:rPr>
        <w:t>MSc</w:t>
      </w:r>
    </w:p>
    <w:p w14:paraId="5545638A" w14:textId="77777777" w:rsidR="00AE7C67" w:rsidRPr="00152F29" w:rsidRDefault="00C21F33" w:rsidP="00152F29">
      <w:proofErr w:type="spellStart"/>
      <w:r w:rsidRPr="00152F29">
        <w:t>Διπλ</w:t>
      </w:r>
      <w:proofErr w:type="spellEnd"/>
      <w:r w:rsidRPr="00152F29">
        <w:t xml:space="preserve">. </w:t>
      </w:r>
      <w:r w:rsidR="00AE7C67" w:rsidRPr="00152F29">
        <w:t>Μηχανολόγος Μηχανικός</w:t>
      </w:r>
      <w:r w:rsidRPr="00152F29">
        <w:t xml:space="preserve"> / </w:t>
      </w:r>
      <w:r w:rsidR="00AE7C67" w:rsidRPr="00152F29">
        <w:t>Μηχανικός Περιβάλλοντος</w:t>
      </w:r>
    </w:p>
    <w:p w14:paraId="62088CFB" w14:textId="77777777" w:rsidR="0003204B" w:rsidRPr="00152F29" w:rsidRDefault="0003204B" w:rsidP="00152F29"/>
    <w:p w14:paraId="2EAAB692" w14:textId="3AB8DDE3" w:rsidR="00C656B4" w:rsidRDefault="0003204B" w:rsidP="00152F29">
      <w:r w:rsidRPr="00152F29">
        <w:t>Διευθύνων Σύμβουλος</w:t>
      </w:r>
      <w:r w:rsidR="00053789">
        <w:t xml:space="preserve"> -</w:t>
      </w:r>
      <w:r w:rsidRPr="00152F29">
        <w:t xml:space="preserve"> ΤΑΪΡΗΣ Α</w:t>
      </w:r>
      <w:r w:rsidR="00236039">
        <w:t>.</w:t>
      </w:r>
      <w:r w:rsidRPr="00152F29">
        <w:t>Ε</w:t>
      </w:r>
      <w:r w:rsidR="00236039">
        <w:t>.</w:t>
      </w:r>
      <w:r w:rsidRPr="00152F29">
        <w:t>Β</w:t>
      </w:r>
      <w:r w:rsidR="00236039">
        <w:t>.</w:t>
      </w:r>
      <w:r w:rsidRPr="00152F29">
        <w:t>Ε</w:t>
      </w:r>
      <w:r w:rsidR="00236039">
        <w:t>.</w:t>
      </w:r>
    </w:p>
    <w:p w14:paraId="7CD78BF0" w14:textId="6B1C5917" w:rsidR="00C11377" w:rsidRDefault="00C11377" w:rsidP="00152F29">
      <w:r w:rsidRPr="00152F29">
        <w:t xml:space="preserve">Διευθύνων Σύμβουλος </w:t>
      </w:r>
      <w:r w:rsidR="00053789">
        <w:t xml:space="preserve">- </w:t>
      </w:r>
      <w:r>
        <w:t>ΕΝΩΜΕΝΗ ΨΥΚΤΙΚΗ Α</w:t>
      </w:r>
      <w:r w:rsidR="00236039">
        <w:t>.</w:t>
      </w:r>
      <w:r>
        <w:t>Ε</w:t>
      </w:r>
      <w:r w:rsidR="00236039">
        <w:t>.</w:t>
      </w:r>
    </w:p>
    <w:p w14:paraId="1F83D462" w14:textId="76108B5E" w:rsidR="0003204B" w:rsidRDefault="0003204B" w:rsidP="00152F29">
      <w:r w:rsidRPr="00152F29">
        <w:t>Αντιπρόεδρος</w:t>
      </w:r>
      <w:r w:rsidR="00053789">
        <w:t xml:space="preserve"> - Σωματείο Πιστοποιημένων Μηχανικών Ψυκτικών (</w:t>
      </w:r>
      <w:r w:rsidRPr="00152F29">
        <w:t>ΣΩ.ΠΙ.ΜΗ.ΨΥΚ.</w:t>
      </w:r>
      <w:r w:rsidR="00053789">
        <w:t>)</w:t>
      </w:r>
    </w:p>
    <w:p w14:paraId="36641127" w14:textId="71F4D0E3" w:rsidR="00C11377" w:rsidRPr="00053789" w:rsidRDefault="00C11377" w:rsidP="00152F29">
      <w:r>
        <w:t xml:space="preserve">Ειδικός Απεσταλμένος </w:t>
      </w:r>
      <w:r w:rsidR="00053789">
        <w:t>- Ευρωπαϊκό Σωματείο Εργοληπτών Ψύξης και Αντλιών Θερμότητας (</w:t>
      </w:r>
      <w:r>
        <w:rPr>
          <w:lang w:val="en-GB"/>
        </w:rPr>
        <w:t>AREA</w:t>
      </w:r>
      <w:r w:rsidR="00053789">
        <w:t>)</w:t>
      </w:r>
    </w:p>
    <w:p w14:paraId="1F7778FD" w14:textId="1C1349C7" w:rsidR="0003204B" w:rsidRDefault="00220906" w:rsidP="00152F29">
      <w:pPr>
        <w:rPr>
          <w:lang w:val="en-GB"/>
        </w:rPr>
      </w:pPr>
      <w:r>
        <w:rPr>
          <w:lang w:val="en-GB"/>
        </w:rPr>
        <w:t xml:space="preserve">Chairman – Sustainable Innovation Workgroup </w:t>
      </w:r>
      <w:r w:rsidR="00774031">
        <w:rPr>
          <w:lang w:val="en-GB"/>
        </w:rPr>
        <w:t>–</w:t>
      </w:r>
      <w:r>
        <w:rPr>
          <w:lang w:val="en-GB"/>
        </w:rPr>
        <w:t xml:space="preserve"> AREA</w:t>
      </w:r>
    </w:p>
    <w:p w14:paraId="0F20A755" w14:textId="77777777" w:rsidR="00615EF3" w:rsidRPr="00470118" w:rsidRDefault="00615EF3" w:rsidP="00615EF3">
      <w:pPr>
        <w:jc w:val="both"/>
        <w:rPr>
          <w:highlight w:val="yellow"/>
        </w:rPr>
      </w:pPr>
    </w:p>
    <w:sectPr w:rsidR="00615EF3" w:rsidRPr="00470118" w:rsidSect="006E261F">
      <w:headerReference w:type="default" r:id="rId19"/>
      <w:footerReference w:type="even" r:id="rId20"/>
      <w:footerReference w:type="default" r:id="rId21"/>
      <w:pgSz w:w="11906" w:h="16838" w:code="9"/>
      <w:pgMar w:top="1735" w:right="851" w:bottom="709" w:left="1134" w:header="227" w:footer="1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B5D29" w14:textId="77777777" w:rsidR="006B3F98" w:rsidRDefault="006B3F98">
      <w:r>
        <w:separator/>
      </w:r>
    </w:p>
  </w:endnote>
  <w:endnote w:type="continuationSeparator" w:id="0">
    <w:p w14:paraId="378D9CE3" w14:textId="77777777" w:rsidR="006B3F98" w:rsidRDefault="006B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0F390" w14:textId="77777777" w:rsidR="00257280" w:rsidRDefault="00551CA8">
    <w:pPr>
      <w:framePr w:wrap="around" w:vAnchor="text" w:hAnchor="margin" w:xAlign="center" w:y="1"/>
    </w:pPr>
    <w:r>
      <w:fldChar w:fldCharType="begin"/>
    </w:r>
    <w:r w:rsidR="00257280">
      <w:instrText xml:space="preserve">PAGE  </w:instrText>
    </w:r>
    <w:r>
      <w:fldChar w:fldCharType="end"/>
    </w:r>
  </w:p>
  <w:p w14:paraId="489CC6AF" w14:textId="77777777" w:rsidR="00257280" w:rsidRDefault="0025728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53DC8" w14:textId="77777777" w:rsidR="00257280" w:rsidRPr="00F97373" w:rsidRDefault="00257280" w:rsidP="003B6D66">
    <w:pPr>
      <w:jc w:val="right"/>
      <w:rPr>
        <w:b/>
        <w:sz w:val="18"/>
        <w:szCs w:val="18"/>
      </w:rPr>
    </w:pPr>
    <w:r w:rsidRPr="00F97373">
      <w:rPr>
        <w:b/>
        <w:sz w:val="18"/>
        <w:szCs w:val="18"/>
      </w:rPr>
      <w:t xml:space="preserve">Σελίδα </w:t>
    </w:r>
    <w:r w:rsidR="00551CA8" w:rsidRPr="00F97373">
      <w:rPr>
        <w:b/>
        <w:sz w:val="18"/>
        <w:szCs w:val="18"/>
      </w:rPr>
      <w:fldChar w:fldCharType="begin"/>
    </w:r>
    <w:r w:rsidRPr="00F97373">
      <w:rPr>
        <w:b/>
        <w:sz w:val="18"/>
        <w:szCs w:val="18"/>
      </w:rPr>
      <w:instrText xml:space="preserve"> PAGE </w:instrText>
    </w:r>
    <w:r w:rsidR="00551CA8" w:rsidRPr="00F97373">
      <w:rPr>
        <w:b/>
        <w:sz w:val="18"/>
        <w:szCs w:val="18"/>
      </w:rPr>
      <w:fldChar w:fldCharType="separate"/>
    </w:r>
    <w:r w:rsidR="00A619AE">
      <w:rPr>
        <w:b/>
        <w:noProof/>
        <w:sz w:val="18"/>
        <w:szCs w:val="18"/>
      </w:rPr>
      <w:t>2</w:t>
    </w:r>
    <w:r w:rsidR="00551CA8" w:rsidRPr="00F97373">
      <w:rPr>
        <w:b/>
        <w:sz w:val="18"/>
        <w:szCs w:val="18"/>
      </w:rPr>
      <w:fldChar w:fldCharType="end"/>
    </w:r>
    <w:r w:rsidRPr="00F97373">
      <w:rPr>
        <w:b/>
        <w:sz w:val="18"/>
        <w:szCs w:val="18"/>
      </w:rPr>
      <w:t xml:space="preserve"> / </w:t>
    </w:r>
    <w:r w:rsidR="00551CA8" w:rsidRPr="00F97373">
      <w:rPr>
        <w:b/>
        <w:sz w:val="18"/>
        <w:szCs w:val="18"/>
      </w:rPr>
      <w:fldChar w:fldCharType="begin"/>
    </w:r>
    <w:r w:rsidRPr="00F97373">
      <w:rPr>
        <w:b/>
        <w:sz w:val="18"/>
        <w:szCs w:val="18"/>
      </w:rPr>
      <w:instrText xml:space="preserve"> NUMPAGES </w:instrText>
    </w:r>
    <w:r w:rsidR="00551CA8" w:rsidRPr="00F97373">
      <w:rPr>
        <w:b/>
        <w:sz w:val="18"/>
        <w:szCs w:val="18"/>
      </w:rPr>
      <w:fldChar w:fldCharType="separate"/>
    </w:r>
    <w:r w:rsidR="00A619AE">
      <w:rPr>
        <w:b/>
        <w:noProof/>
        <w:sz w:val="18"/>
        <w:szCs w:val="18"/>
      </w:rPr>
      <w:t>2</w:t>
    </w:r>
    <w:r w:rsidR="00551CA8" w:rsidRPr="00F97373">
      <w:rPr>
        <w:b/>
        <w:sz w:val="18"/>
        <w:szCs w:val="18"/>
      </w:rPr>
      <w:fldChar w:fldCharType="end"/>
    </w:r>
  </w:p>
  <w:tbl>
    <w:tblPr>
      <w:tblStyle w:val="TableTairis"/>
      <w:tblW w:w="0" w:type="auto"/>
      <w:tblBorders>
        <w:top w:val="single" w:sz="6" w:space="0" w:color="003366"/>
        <w:left w:val="none" w:sz="0" w:space="0" w:color="auto"/>
        <w:bottom w:val="none" w:sz="0" w:space="0" w:color="auto"/>
        <w:right w:val="none" w:sz="0" w:space="0" w:color="auto"/>
        <w:insideH w:val="none" w:sz="0" w:space="0" w:color="auto"/>
        <w:insideV w:val="none" w:sz="0" w:space="0" w:color="auto"/>
      </w:tblBorders>
      <w:tblCellMar>
        <w:top w:w="28" w:type="dxa"/>
        <w:left w:w="57" w:type="dxa"/>
        <w:bottom w:w="28" w:type="dxa"/>
        <w:right w:w="57" w:type="dxa"/>
      </w:tblCellMar>
      <w:tblLook w:val="01E0" w:firstRow="1" w:lastRow="1" w:firstColumn="1" w:lastColumn="1" w:noHBand="0" w:noVBand="0"/>
    </w:tblPr>
    <w:tblGrid>
      <w:gridCol w:w="3001"/>
      <w:gridCol w:w="4336"/>
      <w:gridCol w:w="2584"/>
    </w:tblGrid>
    <w:tr w:rsidR="00257280" w14:paraId="67144D96" w14:textId="77777777" w:rsidTr="00646A97">
      <w:trPr>
        <w:cnfStyle w:val="100000000000" w:firstRow="1" w:lastRow="0" w:firstColumn="0" w:lastColumn="0" w:oddVBand="0" w:evenVBand="0" w:oddHBand="0" w:evenHBand="0" w:firstRowFirstColumn="0" w:firstRowLastColumn="0" w:lastRowFirstColumn="0" w:lastRowLastColumn="0"/>
      </w:trPr>
      <w:tc>
        <w:tcPr>
          <w:tcW w:w="3034" w:type="dxa"/>
          <w:shd w:val="clear" w:color="auto" w:fill="auto"/>
        </w:tcPr>
        <w:p w14:paraId="43EFF6B3" w14:textId="77777777" w:rsidR="00257280" w:rsidRPr="00C26CC4" w:rsidRDefault="00257280" w:rsidP="00176947">
          <w:pPr>
            <w:jc w:val="left"/>
            <w:rPr>
              <w:color w:val="003366"/>
              <w:sz w:val="18"/>
              <w:szCs w:val="18"/>
            </w:rPr>
          </w:pPr>
          <w:r w:rsidRPr="00C26CC4">
            <w:rPr>
              <w:color w:val="003366"/>
              <w:sz w:val="18"/>
              <w:szCs w:val="18"/>
            </w:rPr>
            <w:t>ΤΑΪΡΗΣ Α.Ε.Β.Ε.</w:t>
          </w:r>
        </w:p>
      </w:tc>
      <w:tc>
        <w:tcPr>
          <w:tcW w:w="7001" w:type="dxa"/>
          <w:gridSpan w:val="2"/>
          <w:shd w:val="clear" w:color="auto" w:fill="auto"/>
        </w:tcPr>
        <w:p w14:paraId="67D81115" w14:textId="77777777" w:rsidR="00257280" w:rsidRPr="00176947" w:rsidRDefault="00257280" w:rsidP="00176947">
          <w:pPr>
            <w:jc w:val="left"/>
            <w:rPr>
              <w:b w:val="0"/>
              <w:color w:val="003366"/>
              <w:sz w:val="18"/>
              <w:szCs w:val="18"/>
            </w:rPr>
          </w:pPr>
          <w:r w:rsidRPr="00176947">
            <w:rPr>
              <w:b w:val="0"/>
              <w:color w:val="003366"/>
              <w:sz w:val="18"/>
              <w:szCs w:val="18"/>
            </w:rPr>
            <w:t xml:space="preserve">Ψύξη - Κλιματισμός - Θέρμανση - </w:t>
          </w:r>
          <w:r>
            <w:rPr>
              <w:b w:val="0"/>
              <w:color w:val="003366"/>
              <w:sz w:val="18"/>
              <w:szCs w:val="18"/>
            </w:rPr>
            <w:t>Εναλλακτικές μορφές ενέργειας</w:t>
          </w:r>
          <w:r w:rsidRPr="00176947">
            <w:rPr>
              <w:b w:val="0"/>
              <w:color w:val="003366"/>
              <w:sz w:val="18"/>
              <w:szCs w:val="18"/>
            </w:rPr>
            <w:t xml:space="preserve"> - Αυτοματισμοί</w:t>
          </w:r>
        </w:p>
      </w:tc>
    </w:tr>
    <w:tr w:rsidR="00257280" w14:paraId="6264BDC3" w14:textId="77777777" w:rsidTr="00646A97">
      <w:tblPrEx>
        <w:jc w:val="left"/>
      </w:tblPrEx>
      <w:tc>
        <w:tcPr>
          <w:tcW w:w="3034" w:type="dxa"/>
          <w:shd w:val="clear" w:color="auto" w:fill="auto"/>
        </w:tcPr>
        <w:p w14:paraId="10F1501B" w14:textId="77777777" w:rsidR="00257280" w:rsidRPr="00CA2263" w:rsidRDefault="00257280" w:rsidP="00176947">
          <w:pPr>
            <w:jc w:val="left"/>
            <w:rPr>
              <w:color w:val="003366"/>
              <w:sz w:val="18"/>
              <w:szCs w:val="18"/>
            </w:rPr>
          </w:pPr>
          <w:r>
            <w:rPr>
              <w:color w:val="003366"/>
              <w:sz w:val="18"/>
              <w:szCs w:val="18"/>
            </w:rPr>
            <w:t>Πέτρου Ράλλη 68, Αιγάλεω 12241</w:t>
          </w:r>
        </w:p>
      </w:tc>
      <w:tc>
        <w:tcPr>
          <w:tcW w:w="4394" w:type="dxa"/>
          <w:shd w:val="clear" w:color="auto" w:fill="auto"/>
        </w:tcPr>
        <w:p w14:paraId="149AE2C5" w14:textId="77777777" w:rsidR="00257280" w:rsidRPr="00FE3662" w:rsidRDefault="00257280" w:rsidP="00176947">
          <w:pPr>
            <w:jc w:val="left"/>
            <w:rPr>
              <w:color w:val="003366"/>
              <w:sz w:val="18"/>
              <w:szCs w:val="18"/>
              <w:lang w:val="en-GB"/>
            </w:rPr>
          </w:pPr>
          <w:r>
            <w:rPr>
              <w:color w:val="003366"/>
              <w:sz w:val="18"/>
              <w:szCs w:val="18"/>
            </w:rPr>
            <w:t>Τηλ.: 210-</w:t>
          </w:r>
          <w:r>
            <w:rPr>
              <w:color w:val="003366"/>
              <w:sz w:val="18"/>
              <w:szCs w:val="18"/>
              <w:lang w:val="en-GB"/>
            </w:rPr>
            <w:t>4933200 &amp; 210-4933202</w:t>
          </w:r>
        </w:p>
      </w:tc>
      <w:tc>
        <w:tcPr>
          <w:tcW w:w="2607" w:type="dxa"/>
          <w:tcBorders>
            <w:bottom w:val="single" w:sz="6" w:space="0" w:color="003366"/>
          </w:tcBorders>
          <w:shd w:val="clear" w:color="auto" w:fill="auto"/>
        </w:tcPr>
        <w:p w14:paraId="14FA5392" w14:textId="16FB1B37" w:rsidR="00257280" w:rsidRPr="00FE3662" w:rsidRDefault="006F3110" w:rsidP="00176947">
          <w:pPr>
            <w:jc w:val="left"/>
            <w:rPr>
              <w:color w:val="003366"/>
              <w:sz w:val="18"/>
              <w:szCs w:val="18"/>
              <w:lang w:val="en-GB"/>
            </w:rPr>
          </w:pPr>
          <w:r>
            <w:rPr>
              <w:color w:val="003366"/>
              <w:sz w:val="18"/>
              <w:szCs w:val="18"/>
            </w:rPr>
            <w:t xml:space="preserve">ΓΕΜΗ: </w:t>
          </w:r>
          <w:r w:rsidRPr="00987A4E">
            <w:rPr>
              <w:color w:val="003366"/>
              <w:sz w:val="18"/>
              <w:szCs w:val="18"/>
            </w:rPr>
            <w:t>009354901000</w:t>
          </w:r>
        </w:p>
      </w:tc>
    </w:tr>
    <w:tr w:rsidR="00257280" w14:paraId="555CBE88" w14:textId="77777777" w:rsidTr="00646A97">
      <w:tblPrEx>
        <w:jc w:val="left"/>
      </w:tblPrEx>
      <w:tc>
        <w:tcPr>
          <w:tcW w:w="3034" w:type="dxa"/>
          <w:shd w:val="clear" w:color="auto" w:fill="auto"/>
        </w:tcPr>
        <w:p w14:paraId="4DD0C4BF" w14:textId="77777777" w:rsidR="00257280" w:rsidRPr="00566E7D" w:rsidRDefault="00257280" w:rsidP="00176947">
          <w:pPr>
            <w:jc w:val="left"/>
            <w:rPr>
              <w:color w:val="003366"/>
              <w:sz w:val="18"/>
              <w:szCs w:val="18"/>
              <w:lang w:val="en-GB"/>
            </w:rPr>
          </w:pPr>
          <w:r w:rsidRPr="00566E7D">
            <w:rPr>
              <w:color w:val="003366"/>
              <w:sz w:val="18"/>
              <w:szCs w:val="18"/>
              <w:lang w:val="en-GB"/>
            </w:rPr>
            <w:t>E-mail: mail@tairis.gr</w:t>
          </w:r>
        </w:p>
      </w:tc>
      <w:tc>
        <w:tcPr>
          <w:tcW w:w="4394" w:type="dxa"/>
          <w:tcBorders>
            <w:right w:val="single" w:sz="6" w:space="0" w:color="003366"/>
          </w:tcBorders>
          <w:shd w:val="clear" w:color="auto" w:fill="auto"/>
        </w:tcPr>
        <w:p w14:paraId="5D18A43C" w14:textId="77777777" w:rsidR="00257280" w:rsidRPr="007B706D" w:rsidRDefault="00257280" w:rsidP="00176947">
          <w:pPr>
            <w:jc w:val="left"/>
            <w:rPr>
              <w:color w:val="003366"/>
              <w:sz w:val="18"/>
              <w:szCs w:val="18"/>
            </w:rPr>
          </w:pPr>
          <w:r w:rsidRPr="007B706D">
            <w:rPr>
              <w:color w:val="003366"/>
              <w:sz w:val="18"/>
              <w:szCs w:val="18"/>
            </w:rPr>
            <w:t>Ιστοσελίδα: www.tairis.gr</w:t>
          </w:r>
        </w:p>
      </w:tc>
      <w:tc>
        <w:tcPr>
          <w:tcW w:w="2607" w:type="dxa"/>
          <w:tcBorders>
            <w:top w:val="single" w:sz="6" w:space="0" w:color="003366"/>
            <w:left w:val="single" w:sz="6" w:space="0" w:color="003366"/>
            <w:bottom w:val="single" w:sz="6" w:space="0" w:color="003366"/>
            <w:right w:val="single" w:sz="6" w:space="0" w:color="003366"/>
          </w:tcBorders>
          <w:shd w:val="clear" w:color="auto" w:fill="auto"/>
        </w:tcPr>
        <w:p w14:paraId="15616B44" w14:textId="77777777" w:rsidR="00257280" w:rsidRPr="00BE1EA2" w:rsidRDefault="00257280" w:rsidP="00176947">
          <w:pPr>
            <w:jc w:val="right"/>
            <w:rPr>
              <w:color w:val="003366"/>
              <w:sz w:val="18"/>
              <w:szCs w:val="18"/>
            </w:rPr>
          </w:pPr>
        </w:p>
      </w:tc>
    </w:tr>
  </w:tbl>
  <w:p w14:paraId="62065566" w14:textId="77777777" w:rsidR="00257280" w:rsidRPr="004021B4" w:rsidRDefault="00257280" w:rsidP="004021B4">
    <w:pPr>
      <w:jc w:val="both"/>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B408A" w14:textId="77777777" w:rsidR="006B3F98" w:rsidRDefault="006B3F98">
      <w:r>
        <w:separator/>
      </w:r>
    </w:p>
  </w:footnote>
  <w:footnote w:type="continuationSeparator" w:id="0">
    <w:p w14:paraId="5EA94BF7" w14:textId="77777777" w:rsidR="006B3F98" w:rsidRDefault="006B3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4FCF5" w14:textId="77BB8599" w:rsidR="006E261F" w:rsidRDefault="006E261F" w:rsidP="003155EA">
    <w:pPr>
      <w:pStyle w:val="Header"/>
      <w:jc w:val="right"/>
    </w:pPr>
  </w:p>
  <w:p w14:paraId="700145E6" w14:textId="7BE38A8D" w:rsidR="006E261F" w:rsidRDefault="006E261F" w:rsidP="003155EA">
    <w:pPr>
      <w:pStyle w:val="Header"/>
      <w:jc w:val="right"/>
    </w:pPr>
  </w:p>
  <w:p w14:paraId="6347491E" w14:textId="77777777" w:rsidR="006E261F" w:rsidRDefault="006E261F" w:rsidP="003155EA">
    <w:pPr>
      <w:pStyle w:val="Header"/>
      <w:jc w:val="right"/>
    </w:pPr>
  </w:p>
  <w:p w14:paraId="2C9CBDDA" w14:textId="4ACB338F" w:rsidR="00257280" w:rsidRPr="003155EA" w:rsidRDefault="00257280" w:rsidP="003155EA">
    <w:pPr>
      <w:pStyle w:val="Header"/>
      <w:jc w:val="right"/>
    </w:pPr>
    <w:r>
      <w:rPr>
        <w:noProof/>
      </w:rPr>
      <w:drawing>
        <wp:anchor distT="0" distB="180340" distL="114300" distR="114300" simplePos="0" relativeHeight="251657728" behindDoc="0" locked="0" layoutInCell="1" allowOverlap="1" wp14:anchorId="2056EE2A" wp14:editId="052989C3">
          <wp:simplePos x="0" y="0"/>
          <wp:positionH relativeFrom="column">
            <wp:posOffset>-215265</wp:posOffset>
          </wp:positionH>
          <wp:positionV relativeFrom="page">
            <wp:posOffset>342900</wp:posOffset>
          </wp:positionV>
          <wp:extent cx="1819275" cy="495300"/>
          <wp:effectExtent l="0" t="0" r="9525" b="0"/>
          <wp:wrapSquare wrapText="bothSides"/>
          <wp:docPr id="15" name="Εικόνα 8" descr="logo_sha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_shadow"/>
                  <pic:cNvPicPr>
                    <a:picLocks noChangeAspect="1" noChangeArrowheads="1"/>
                  </pic:cNvPicPr>
                </pic:nvPicPr>
                <pic:blipFill>
                  <a:blip r:embed="rId1"/>
                  <a:srcRect/>
                  <a:stretch>
                    <a:fillRect/>
                  </a:stretch>
                </pic:blipFill>
                <pic:spPr bwMode="auto">
                  <a:xfrm>
                    <a:off x="0" y="0"/>
                    <a:ext cx="1819275" cy="495300"/>
                  </a:xfrm>
                  <a:prstGeom prst="rect">
                    <a:avLst/>
                  </a:prstGeom>
                  <a:noFill/>
                  <a:ln w="9525">
                    <a:noFill/>
                    <a:miter lim="800000"/>
                    <a:headEnd/>
                    <a:tailEnd/>
                  </a:ln>
                </pic:spPr>
              </pic:pic>
            </a:graphicData>
          </a:graphic>
        </wp:anchor>
      </w:drawing>
    </w:r>
    <w:r w:rsidR="00782A82">
      <w:t>Μάρτιος</w:t>
    </w:r>
    <w:r w:rsidR="003155EA">
      <w:t xml:space="preserve"> 202</w:t>
    </w:r>
    <w:r w:rsidR="006F3110">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7A7C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F6F24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F26D9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3E5D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F036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A2ED0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B685D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46CD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DF26E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0C467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8B31F1E"/>
    <w:multiLevelType w:val="hybridMultilevel"/>
    <w:tmpl w:val="D88E382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2CF74BE2"/>
    <w:multiLevelType w:val="hybridMultilevel"/>
    <w:tmpl w:val="8906135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2D386F02"/>
    <w:multiLevelType w:val="hybridMultilevel"/>
    <w:tmpl w:val="CA14FB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2F191460"/>
    <w:multiLevelType w:val="hybridMultilevel"/>
    <w:tmpl w:val="9202B89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321C2153"/>
    <w:multiLevelType w:val="hybridMultilevel"/>
    <w:tmpl w:val="4E349F7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37AC7A44"/>
    <w:multiLevelType w:val="hybridMultilevel"/>
    <w:tmpl w:val="98A8154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59C7037C"/>
    <w:multiLevelType w:val="hybridMultilevel"/>
    <w:tmpl w:val="C7C453A6"/>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5F730B54"/>
    <w:multiLevelType w:val="hybridMultilevel"/>
    <w:tmpl w:val="B054311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60590949"/>
    <w:multiLevelType w:val="hybridMultilevel"/>
    <w:tmpl w:val="F18291A2"/>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60CC455F"/>
    <w:multiLevelType w:val="hybridMultilevel"/>
    <w:tmpl w:val="524A650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61C106F6"/>
    <w:multiLevelType w:val="hybridMultilevel"/>
    <w:tmpl w:val="92C64D6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62145C57"/>
    <w:multiLevelType w:val="hybridMultilevel"/>
    <w:tmpl w:val="5EC89C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6E0755FB"/>
    <w:multiLevelType w:val="hybridMultilevel"/>
    <w:tmpl w:val="8C02D08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733F090C"/>
    <w:multiLevelType w:val="hybridMultilevel"/>
    <w:tmpl w:val="7E668A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418090354">
    <w:abstractNumId w:val="9"/>
  </w:num>
  <w:num w:numId="2" w16cid:durableId="73287894">
    <w:abstractNumId w:val="7"/>
  </w:num>
  <w:num w:numId="3" w16cid:durableId="1659386391">
    <w:abstractNumId w:val="6"/>
  </w:num>
  <w:num w:numId="4" w16cid:durableId="554858461">
    <w:abstractNumId w:val="5"/>
  </w:num>
  <w:num w:numId="5" w16cid:durableId="1712337429">
    <w:abstractNumId w:val="4"/>
  </w:num>
  <w:num w:numId="6" w16cid:durableId="391197502">
    <w:abstractNumId w:val="8"/>
  </w:num>
  <w:num w:numId="7" w16cid:durableId="760953626">
    <w:abstractNumId w:val="3"/>
  </w:num>
  <w:num w:numId="8" w16cid:durableId="121774676">
    <w:abstractNumId w:val="2"/>
  </w:num>
  <w:num w:numId="9" w16cid:durableId="386538775">
    <w:abstractNumId w:val="1"/>
  </w:num>
  <w:num w:numId="10" w16cid:durableId="1829444921">
    <w:abstractNumId w:val="0"/>
  </w:num>
  <w:num w:numId="11" w16cid:durableId="1348942562">
    <w:abstractNumId w:val="11"/>
  </w:num>
  <w:num w:numId="12" w16cid:durableId="1841894447">
    <w:abstractNumId w:val="12"/>
  </w:num>
  <w:num w:numId="13" w16cid:durableId="1889610546">
    <w:abstractNumId w:val="23"/>
  </w:num>
  <w:num w:numId="14" w16cid:durableId="775708711">
    <w:abstractNumId w:val="21"/>
  </w:num>
  <w:num w:numId="15" w16cid:durableId="228543523">
    <w:abstractNumId w:val="16"/>
  </w:num>
  <w:num w:numId="16" w16cid:durableId="1676572716">
    <w:abstractNumId w:val="22"/>
  </w:num>
  <w:num w:numId="17" w16cid:durableId="963848170">
    <w:abstractNumId w:val="19"/>
  </w:num>
  <w:num w:numId="18" w16cid:durableId="243028868">
    <w:abstractNumId w:val="10"/>
  </w:num>
  <w:num w:numId="19" w16cid:durableId="1021274364">
    <w:abstractNumId w:val="18"/>
  </w:num>
  <w:num w:numId="20" w16cid:durableId="1789004231">
    <w:abstractNumId w:val="14"/>
  </w:num>
  <w:num w:numId="21" w16cid:durableId="1718581552">
    <w:abstractNumId w:val="13"/>
  </w:num>
  <w:num w:numId="22" w16cid:durableId="103959308">
    <w:abstractNumId w:val="20"/>
  </w:num>
  <w:num w:numId="23" w16cid:durableId="889421681">
    <w:abstractNumId w:val="17"/>
  </w:num>
  <w:num w:numId="24" w16cid:durableId="39721767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style="mso-position-horizontal:center;mso-height-percent:200;mso-width-relative:margin;mso-height-relative:margin" fillcolor="white">
      <v:fill color="white"/>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E6E"/>
    <w:rsid w:val="000006CB"/>
    <w:rsid w:val="00000F95"/>
    <w:rsid w:val="000050A6"/>
    <w:rsid w:val="00011AC3"/>
    <w:rsid w:val="00012AD7"/>
    <w:rsid w:val="00021721"/>
    <w:rsid w:val="00030AF8"/>
    <w:rsid w:val="0003204B"/>
    <w:rsid w:val="000356F6"/>
    <w:rsid w:val="00036DAB"/>
    <w:rsid w:val="00042881"/>
    <w:rsid w:val="000431C7"/>
    <w:rsid w:val="0004673E"/>
    <w:rsid w:val="00046AD6"/>
    <w:rsid w:val="00047857"/>
    <w:rsid w:val="00053789"/>
    <w:rsid w:val="00066535"/>
    <w:rsid w:val="0007787E"/>
    <w:rsid w:val="00077999"/>
    <w:rsid w:val="00080B7E"/>
    <w:rsid w:val="000814FF"/>
    <w:rsid w:val="0008284A"/>
    <w:rsid w:val="00090326"/>
    <w:rsid w:val="000A0540"/>
    <w:rsid w:val="000A140B"/>
    <w:rsid w:val="000A250A"/>
    <w:rsid w:val="000A292D"/>
    <w:rsid w:val="000A7F45"/>
    <w:rsid w:val="000B17F8"/>
    <w:rsid w:val="000B2305"/>
    <w:rsid w:val="000C3864"/>
    <w:rsid w:val="000D2BC4"/>
    <w:rsid w:val="000E1381"/>
    <w:rsid w:val="000E37D4"/>
    <w:rsid w:val="000E4094"/>
    <w:rsid w:val="000E4AA0"/>
    <w:rsid w:val="000E4EB9"/>
    <w:rsid w:val="000E6BC9"/>
    <w:rsid w:val="000E72F5"/>
    <w:rsid w:val="000F034F"/>
    <w:rsid w:val="000F20A4"/>
    <w:rsid w:val="000F447A"/>
    <w:rsid w:val="000F5177"/>
    <w:rsid w:val="000F6CA3"/>
    <w:rsid w:val="00106904"/>
    <w:rsid w:val="00107032"/>
    <w:rsid w:val="00110D5B"/>
    <w:rsid w:val="001158E6"/>
    <w:rsid w:val="001220B2"/>
    <w:rsid w:val="00123331"/>
    <w:rsid w:val="00126107"/>
    <w:rsid w:val="00131648"/>
    <w:rsid w:val="00132FC6"/>
    <w:rsid w:val="0013684C"/>
    <w:rsid w:val="00136A12"/>
    <w:rsid w:val="00137B71"/>
    <w:rsid w:val="00137B9F"/>
    <w:rsid w:val="00152F29"/>
    <w:rsid w:val="00162F4E"/>
    <w:rsid w:val="00171607"/>
    <w:rsid w:val="00171E8E"/>
    <w:rsid w:val="00172738"/>
    <w:rsid w:val="001767B4"/>
    <w:rsid w:val="00176947"/>
    <w:rsid w:val="00180416"/>
    <w:rsid w:val="00180BF4"/>
    <w:rsid w:val="00186A0C"/>
    <w:rsid w:val="001921ED"/>
    <w:rsid w:val="001A43B7"/>
    <w:rsid w:val="001A46B0"/>
    <w:rsid w:val="001A59E7"/>
    <w:rsid w:val="001A63E4"/>
    <w:rsid w:val="001B1085"/>
    <w:rsid w:val="001B3EF7"/>
    <w:rsid w:val="001C775E"/>
    <w:rsid w:val="001D5612"/>
    <w:rsid w:val="001E4F99"/>
    <w:rsid w:val="001F2021"/>
    <w:rsid w:val="001F2263"/>
    <w:rsid w:val="001F6CAD"/>
    <w:rsid w:val="002036CB"/>
    <w:rsid w:val="00211D36"/>
    <w:rsid w:val="00214920"/>
    <w:rsid w:val="00216186"/>
    <w:rsid w:val="00220906"/>
    <w:rsid w:val="00221230"/>
    <w:rsid w:val="002212B0"/>
    <w:rsid w:val="00225726"/>
    <w:rsid w:val="002319CB"/>
    <w:rsid w:val="00235208"/>
    <w:rsid w:val="00236039"/>
    <w:rsid w:val="002367D6"/>
    <w:rsid w:val="0024170E"/>
    <w:rsid w:val="0024582D"/>
    <w:rsid w:val="00252094"/>
    <w:rsid w:val="00252558"/>
    <w:rsid w:val="00257280"/>
    <w:rsid w:val="002613C0"/>
    <w:rsid w:val="0026180B"/>
    <w:rsid w:val="00264B7B"/>
    <w:rsid w:val="00267E50"/>
    <w:rsid w:val="00276298"/>
    <w:rsid w:val="0027673B"/>
    <w:rsid w:val="00280200"/>
    <w:rsid w:val="00282634"/>
    <w:rsid w:val="002844D7"/>
    <w:rsid w:val="002A094F"/>
    <w:rsid w:val="002A6370"/>
    <w:rsid w:val="002A686E"/>
    <w:rsid w:val="002B1655"/>
    <w:rsid w:val="002B3DB0"/>
    <w:rsid w:val="002B5C4C"/>
    <w:rsid w:val="002C0078"/>
    <w:rsid w:val="002C325B"/>
    <w:rsid w:val="002C6F6A"/>
    <w:rsid w:val="002D3CC2"/>
    <w:rsid w:val="002D6686"/>
    <w:rsid w:val="002D7E48"/>
    <w:rsid w:val="002E1413"/>
    <w:rsid w:val="002E7100"/>
    <w:rsid w:val="002F0C61"/>
    <w:rsid w:val="002F3BD9"/>
    <w:rsid w:val="002F52B5"/>
    <w:rsid w:val="00304701"/>
    <w:rsid w:val="00307548"/>
    <w:rsid w:val="00307578"/>
    <w:rsid w:val="003107D2"/>
    <w:rsid w:val="0031270C"/>
    <w:rsid w:val="0031354C"/>
    <w:rsid w:val="003155EA"/>
    <w:rsid w:val="00317A8D"/>
    <w:rsid w:val="003227E9"/>
    <w:rsid w:val="00324B2E"/>
    <w:rsid w:val="0033474F"/>
    <w:rsid w:val="0033654F"/>
    <w:rsid w:val="003365FF"/>
    <w:rsid w:val="003409FA"/>
    <w:rsid w:val="0034248A"/>
    <w:rsid w:val="0036420F"/>
    <w:rsid w:val="003648FB"/>
    <w:rsid w:val="003678F6"/>
    <w:rsid w:val="003700D7"/>
    <w:rsid w:val="003731A8"/>
    <w:rsid w:val="00380B03"/>
    <w:rsid w:val="00380B0D"/>
    <w:rsid w:val="0038541E"/>
    <w:rsid w:val="00386D3B"/>
    <w:rsid w:val="00387B0D"/>
    <w:rsid w:val="00391FFE"/>
    <w:rsid w:val="00392E46"/>
    <w:rsid w:val="00394EF8"/>
    <w:rsid w:val="00395E2C"/>
    <w:rsid w:val="00396099"/>
    <w:rsid w:val="003A1298"/>
    <w:rsid w:val="003A4DB1"/>
    <w:rsid w:val="003B0997"/>
    <w:rsid w:val="003B4622"/>
    <w:rsid w:val="003B5816"/>
    <w:rsid w:val="003B6D66"/>
    <w:rsid w:val="003B7A37"/>
    <w:rsid w:val="003E2E0D"/>
    <w:rsid w:val="003E4B58"/>
    <w:rsid w:val="003F095C"/>
    <w:rsid w:val="003F2CCB"/>
    <w:rsid w:val="003F388D"/>
    <w:rsid w:val="004021B4"/>
    <w:rsid w:val="0040288D"/>
    <w:rsid w:val="0040371C"/>
    <w:rsid w:val="00404E66"/>
    <w:rsid w:val="00420D07"/>
    <w:rsid w:val="00424F65"/>
    <w:rsid w:val="00427D8D"/>
    <w:rsid w:val="00432079"/>
    <w:rsid w:val="0043634F"/>
    <w:rsid w:val="0043649D"/>
    <w:rsid w:val="004373FD"/>
    <w:rsid w:val="0044409C"/>
    <w:rsid w:val="00447932"/>
    <w:rsid w:val="00450098"/>
    <w:rsid w:val="0045291A"/>
    <w:rsid w:val="00453822"/>
    <w:rsid w:val="00455E7D"/>
    <w:rsid w:val="00456504"/>
    <w:rsid w:val="00461773"/>
    <w:rsid w:val="00470118"/>
    <w:rsid w:val="00470212"/>
    <w:rsid w:val="004705F8"/>
    <w:rsid w:val="0047157B"/>
    <w:rsid w:val="00473FA1"/>
    <w:rsid w:val="00482E3A"/>
    <w:rsid w:val="00483C3F"/>
    <w:rsid w:val="00483FFF"/>
    <w:rsid w:val="0048413E"/>
    <w:rsid w:val="00487D93"/>
    <w:rsid w:val="00494446"/>
    <w:rsid w:val="004A1CBE"/>
    <w:rsid w:val="004B19EB"/>
    <w:rsid w:val="004B75C7"/>
    <w:rsid w:val="004C0E63"/>
    <w:rsid w:val="004D2807"/>
    <w:rsid w:val="004D409F"/>
    <w:rsid w:val="004E6D6B"/>
    <w:rsid w:val="004F4877"/>
    <w:rsid w:val="004F7467"/>
    <w:rsid w:val="00506BCE"/>
    <w:rsid w:val="00511488"/>
    <w:rsid w:val="00514F98"/>
    <w:rsid w:val="00526FFB"/>
    <w:rsid w:val="00527884"/>
    <w:rsid w:val="0053028C"/>
    <w:rsid w:val="0053126C"/>
    <w:rsid w:val="00542F74"/>
    <w:rsid w:val="00544369"/>
    <w:rsid w:val="00547E0B"/>
    <w:rsid w:val="00551CA8"/>
    <w:rsid w:val="0055441C"/>
    <w:rsid w:val="005544A0"/>
    <w:rsid w:val="005576E9"/>
    <w:rsid w:val="00560DD5"/>
    <w:rsid w:val="00562743"/>
    <w:rsid w:val="00566E7D"/>
    <w:rsid w:val="005728E2"/>
    <w:rsid w:val="00574FEC"/>
    <w:rsid w:val="005751A1"/>
    <w:rsid w:val="00575867"/>
    <w:rsid w:val="00582B79"/>
    <w:rsid w:val="0059706A"/>
    <w:rsid w:val="005A1029"/>
    <w:rsid w:val="005B10E3"/>
    <w:rsid w:val="005B44F8"/>
    <w:rsid w:val="005C09E4"/>
    <w:rsid w:val="005C1F84"/>
    <w:rsid w:val="005C4065"/>
    <w:rsid w:val="005D0CE0"/>
    <w:rsid w:val="005E50E1"/>
    <w:rsid w:val="00601AF6"/>
    <w:rsid w:val="00607FAA"/>
    <w:rsid w:val="00612BED"/>
    <w:rsid w:val="00615EF3"/>
    <w:rsid w:val="00616950"/>
    <w:rsid w:val="006308DD"/>
    <w:rsid w:val="00635C71"/>
    <w:rsid w:val="00641A1B"/>
    <w:rsid w:val="00643CBC"/>
    <w:rsid w:val="00644EB3"/>
    <w:rsid w:val="0064532C"/>
    <w:rsid w:val="00645B21"/>
    <w:rsid w:val="00645D81"/>
    <w:rsid w:val="00646A97"/>
    <w:rsid w:val="00646CB8"/>
    <w:rsid w:val="00653B20"/>
    <w:rsid w:val="00653D18"/>
    <w:rsid w:val="00661079"/>
    <w:rsid w:val="00673C44"/>
    <w:rsid w:val="00674522"/>
    <w:rsid w:val="00675AED"/>
    <w:rsid w:val="006760E3"/>
    <w:rsid w:val="006830A4"/>
    <w:rsid w:val="00686F9D"/>
    <w:rsid w:val="00687022"/>
    <w:rsid w:val="00697AD5"/>
    <w:rsid w:val="006A14BB"/>
    <w:rsid w:val="006A1E08"/>
    <w:rsid w:val="006A6102"/>
    <w:rsid w:val="006B03CA"/>
    <w:rsid w:val="006B13A1"/>
    <w:rsid w:val="006B201B"/>
    <w:rsid w:val="006B3F98"/>
    <w:rsid w:val="006B7CC3"/>
    <w:rsid w:val="006C001B"/>
    <w:rsid w:val="006C1097"/>
    <w:rsid w:val="006C2E56"/>
    <w:rsid w:val="006C3B03"/>
    <w:rsid w:val="006C5B81"/>
    <w:rsid w:val="006D04F5"/>
    <w:rsid w:val="006E261F"/>
    <w:rsid w:val="006E4081"/>
    <w:rsid w:val="006F29A2"/>
    <w:rsid w:val="006F3110"/>
    <w:rsid w:val="006F495B"/>
    <w:rsid w:val="006F5052"/>
    <w:rsid w:val="00710B97"/>
    <w:rsid w:val="00711C62"/>
    <w:rsid w:val="00713CF2"/>
    <w:rsid w:val="007163CB"/>
    <w:rsid w:val="00722D8F"/>
    <w:rsid w:val="00725549"/>
    <w:rsid w:val="00730F79"/>
    <w:rsid w:val="007420B3"/>
    <w:rsid w:val="00747239"/>
    <w:rsid w:val="00757EE8"/>
    <w:rsid w:val="00774031"/>
    <w:rsid w:val="00775321"/>
    <w:rsid w:val="007774AA"/>
    <w:rsid w:val="00782A82"/>
    <w:rsid w:val="007910F8"/>
    <w:rsid w:val="00791237"/>
    <w:rsid w:val="00796F50"/>
    <w:rsid w:val="007A0057"/>
    <w:rsid w:val="007A0E81"/>
    <w:rsid w:val="007A137C"/>
    <w:rsid w:val="007A6AB8"/>
    <w:rsid w:val="007B0EF5"/>
    <w:rsid w:val="007B102F"/>
    <w:rsid w:val="007B5833"/>
    <w:rsid w:val="007B69CA"/>
    <w:rsid w:val="007B706D"/>
    <w:rsid w:val="007C1A36"/>
    <w:rsid w:val="007C2379"/>
    <w:rsid w:val="007C3820"/>
    <w:rsid w:val="007C563F"/>
    <w:rsid w:val="007C72DA"/>
    <w:rsid w:val="007E2904"/>
    <w:rsid w:val="007E296A"/>
    <w:rsid w:val="007E316C"/>
    <w:rsid w:val="007E7C63"/>
    <w:rsid w:val="007F5825"/>
    <w:rsid w:val="00802CAE"/>
    <w:rsid w:val="00821E18"/>
    <w:rsid w:val="00823729"/>
    <w:rsid w:val="008237DF"/>
    <w:rsid w:val="00823B08"/>
    <w:rsid w:val="00855F89"/>
    <w:rsid w:val="00856660"/>
    <w:rsid w:val="00857C0A"/>
    <w:rsid w:val="008607EA"/>
    <w:rsid w:val="008632E2"/>
    <w:rsid w:val="00882C64"/>
    <w:rsid w:val="00883ED4"/>
    <w:rsid w:val="008842D4"/>
    <w:rsid w:val="00885BB8"/>
    <w:rsid w:val="00890744"/>
    <w:rsid w:val="00892066"/>
    <w:rsid w:val="00894987"/>
    <w:rsid w:val="008A2996"/>
    <w:rsid w:val="008A304D"/>
    <w:rsid w:val="008A32EF"/>
    <w:rsid w:val="008B515F"/>
    <w:rsid w:val="008C2A8F"/>
    <w:rsid w:val="008D0AF9"/>
    <w:rsid w:val="008D2361"/>
    <w:rsid w:val="008D424B"/>
    <w:rsid w:val="008D627E"/>
    <w:rsid w:val="008F1AD4"/>
    <w:rsid w:val="008F52F8"/>
    <w:rsid w:val="00901429"/>
    <w:rsid w:val="00904A1C"/>
    <w:rsid w:val="009057E4"/>
    <w:rsid w:val="0091322D"/>
    <w:rsid w:val="00921412"/>
    <w:rsid w:val="0092793D"/>
    <w:rsid w:val="00927B4F"/>
    <w:rsid w:val="0093500C"/>
    <w:rsid w:val="00937BF1"/>
    <w:rsid w:val="009419FE"/>
    <w:rsid w:val="00941D56"/>
    <w:rsid w:val="00942F14"/>
    <w:rsid w:val="00943518"/>
    <w:rsid w:val="009438B1"/>
    <w:rsid w:val="00945938"/>
    <w:rsid w:val="00946E7A"/>
    <w:rsid w:val="00947A6D"/>
    <w:rsid w:val="0097192C"/>
    <w:rsid w:val="00974589"/>
    <w:rsid w:val="00977A3E"/>
    <w:rsid w:val="00983B05"/>
    <w:rsid w:val="009951B2"/>
    <w:rsid w:val="009B08CB"/>
    <w:rsid w:val="009C4492"/>
    <w:rsid w:val="009D36E9"/>
    <w:rsid w:val="009D4595"/>
    <w:rsid w:val="009D60C8"/>
    <w:rsid w:val="009E0D95"/>
    <w:rsid w:val="009E6890"/>
    <w:rsid w:val="009E700B"/>
    <w:rsid w:val="009F1607"/>
    <w:rsid w:val="009F4FCD"/>
    <w:rsid w:val="009F680E"/>
    <w:rsid w:val="009F6A7D"/>
    <w:rsid w:val="00A00C89"/>
    <w:rsid w:val="00A0294E"/>
    <w:rsid w:val="00A04BBD"/>
    <w:rsid w:val="00A05F3D"/>
    <w:rsid w:val="00A07CBD"/>
    <w:rsid w:val="00A1456A"/>
    <w:rsid w:val="00A224C3"/>
    <w:rsid w:val="00A23C31"/>
    <w:rsid w:val="00A304F1"/>
    <w:rsid w:val="00A323BD"/>
    <w:rsid w:val="00A348B1"/>
    <w:rsid w:val="00A35319"/>
    <w:rsid w:val="00A45D30"/>
    <w:rsid w:val="00A5152A"/>
    <w:rsid w:val="00A5174F"/>
    <w:rsid w:val="00A5292E"/>
    <w:rsid w:val="00A539CD"/>
    <w:rsid w:val="00A619AE"/>
    <w:rsid w:val="00A66047"/>
    <w:rsid w:val="00A715AE"/>
    <w:rsid w:val="00A74512"/>
    <w:rsid w:val="00A748B5"/>
    <w:rsid w:val="00A75EB1"/>
    <w:rsid w:val="00A808E9"/>
    <w:rsid w:val="00A92603"/>
    <w:rsid w:val="00AA1FB1"/>
    <w:rsid w:val="00AA26A9"/>
    <w:rsid w:val="00AA6BFF"/>
    <w:rsid w:val="00AA739A"/>
    <w:rsid w:val="00AB03DD"/>
    <w:rsid w:val="00AB0A48"/>
    <w:rsid w:val="00AB0DBE"/>
    <w:rsid w:val="00AB3D84"/>
    <w:rsid w:val="00AC6293"/>
    <w:rsid w:val="00AC643D"/>
    <w:rsid w:val="00AC765F"/>
    <w:rsid w:val="00AD1F3F"/>
    <w:rsid w:val="00AD4C1B"/>
    <w:rsid w:val="00AD7540"/>
    <w:rsid w:val="00AD77B9"/>
    <w:rsid w:val="00AE184B"/>
    <w:rsid w:val="00AE51D8"/>
    <w:rsid w:val="00AE7C67"/>
    <w:rsid w:val="00AF16A2"/>
    <w:rsid w:val="00AF2B7D"/>
    <w:rsid w:val="00AF5029"/>
    <w:rsid w:val="00AF78E3"/>
    <w:rsid w:val="00B01F6F"/>
    <w:rsid w:val="00B03469"/>
    <w:rsid w:val="00B04135"/>
    <w:rsid w:val="00B05224"/>
    <w:rsid w:val="00B10267"/>
    <w:rsid w:val="00B147C8"/>
    <w:rsid w:val="00B20D87"/>
    <w:rsid w:val="00B21EF6"/>
    <w:rsid w:val="00B25594"/>
    <w:rsid w:val="00B32BF5"/>
    <w:rsid w:val="00B41775"/>
    <w:rsid w:val="00B41E2D"/>
    <w:rsid w:val="00B42B57"/>
    <w:rsid w:val="00B50820"/>
    <w:rsid w:val="00B5276F"/>
    <w:rsid w:val="00B539CA"/>
    <w:rsid w:val="00B611F9"/>
    <w:rsid w:val="00B63721"/>
    <w:rsid w:val="00B63C40"/>
    <w:rsid w:val="00B67657"/>
    <w:rsid w:val="00B72DE5"/>
    <w:rsid w:val="00B72F3E"/>
    <w:rsid w:val="00B73DD2"/>
    <w:rsid w:val="00B74C36"/>
    <w:rsid w:val="00B74EBE"/>
    <w:rsid w:val="00B826CD"/>
    <w:rsid w:val="00B82A59"/>
    <w:rsid w:val="00B83EE0"/>
    <w:rsid w:val="00B844A9"/>
    <w:rsid w:val="00B91349"/>
    <w:rsid w:val="00B91F4A"/>
    <w:rsid w:val="00BA5169"/>
    <w:rsid w:val="00BA796F"/>
    <w:rsid w:val="00BB03D4"/>
    <w:rsid w:val="00BB2DFD"/>
    <w:rsid w:val="00BB4420"/>
    <w:rsid w:val="00BB500F"/>
    <w:rsid w:val="00BC48FB"/>
    <w:rsid w:val="00BD2ADD"/>
    <w:rsid w:val="00BE1EA2"/>
    <w:rsid w:val="00BE27E7"/>
    <w:rsid w:val="00BE4DC8"/>
    <w:rsid w:val="00BF1353"/>
    <w:rsid w:val="00BF49F6"/>
    <w:rsid w:val="00C0753A"/>
    <w:rsid w:val="00C11377"/>
    <w:rsid w:val="00C131CF"/>
    <w:rsid w:val="00C134E9"/>
    <w:rsid w:val="00C1587E"/>
    <w:rsid w:val="00C16EEB"/>
    <w:rsid w:val="00C21B0E"/>
    <w:rsid w:val="00C21F33"/>
    <w:rsid w:val="00C26CC4"/>
    <w:rsid w:val="00C32EB7"/>
    <w:rsid w:val="00C336BC"/>
    <w:rsid w:val="00C36164"/>
    <w:rsid w:val="00C56EE4"/>
    <w:rsid w:val="00C57209"/>
    <w:rsid w:val="00C60850"/>
    <w:rsid w:val="00C64B0A"/>
    <w:rsid w:val="00C656B4"/>
    <w:rsid w:val="00C65ED4"/>
    <w:rsid w:val="00C66E45"/>
    <w:rsid w:val="00C7383C"/>
    <w:rsid w:val="00C762C0"/>
    <w:rsid w:val="00C77E31"/>
    <w:rsid w:val="00C80A12"/>
    <w:rsid w:val="00C81FD9"/>
    <w:rsid w:val="00C82555"/>
    <w:rsid w:val="00C82861"/>
    <w:rsid w:val="00C93C06"/>
    <w:rsid w:val="00C9628F"/>
    <w:rsid w:val="00CA1957"/>
    <w:rsid w:val="00CA1ABE"/>
    <w:rsid w:val="00CA2263"/>
    <w:rsid w:val="00CA297E"/>
    <w:rsid w:val="00CA60CA"/>
    <w:rsid w:val="00CA78B3"/>
    <w:rsid w:val="00CB0D34"/>
    <w:rsid w:val="00CB26AD"/>
    <w:rsid w:val="00CC56B2"/>
    <w:rsid w:val="00CC5E47"/>
    <w:rsid w:val="00CD2BC9"/>
    <w:rsid w:val="00CD64F4"/>
    <w:rsid w:val="00CD7006"/>
    <w:rsid w:val="00CD7944"/>
    <w:rsid w:val="00CE31D5"/>
    <w:rsid w:val="00CE3AA6"/>
    <w:rsid w:val="00CE6F8B"/>
    <w:rsid w:val="00CF39C0"/>
    <w:rsid w:val="00D067B2"/>
    <w:rsid w:val="00D13F6E"/>
    <w:rsid w:val="00D23104"/>
    <w:rsid w:val="00D23B1F"/>
    <w:rsid w:val="00D278F5"/>
    <w:rsid w:val="00D416E9"/>
    <w:rsid w:val="00D41A09"/>
    <w:rsid w:val="00D41F40"/>
    <w:rsid w:val="00D440D3"/>
    <w:rsid w:val="00D44514"/>
    <w:rsid w:val="00D50C37"/>
    <w:rsid w:val="00D60539"/>
    <w:rsid w:val="00D64098"/>
    <w:rsid w:val="00D66ECE"/>
    <w:rsid w:val="00D6718A"/>
    <w:rsid w:val="00D737A2"/>
    <w:rsid w:val="00D81C7A"/>
    <w:rsid w:val="00D84CEA"/>
    <w:rsid w:val="00D87CCC"/>
    <w:rsid w:val="00D931D8"/>
    <w:rsid w:val="00DA0283"/>
    <w:rsid w:val="00DA17CF"/>
    <w:rsid w:val="00DA2C77"/>
    <w:rsid w:val="00DA4485"/>
    <w:rsid w:val="00DB0083"/>
    <w:rsid w:val="00DB5A4E"/>
    <w:rsid w:val="00DB61DA"/>
    <w:rsid w:val="00DC0693"/>
    <w:rsid w:val="00DC0A59"/>
    <w:rsid w:val="00DC25A6"/>
    <w:rsid w:val="00DC7662"/>
    <w:rsid w:val="00DC79C7"/>
    <w:rsid w:val="00DD33D5"/>
    <w:rsid w:val="00DD5E18"/>
    <w:rsid w:val="00DF6274"/>
    <w:rsid w:val="00E16050"/>
    <w:rsid w:val="00E2513B"/>
    <w:rsid w:val="00E26716"/>
    <w:rsid w:val="00E31F16"/>
    <w:rsid w:val="00E338A8"/>
    <w:rsid w:val="00E41E6E"/>
    <w:rsid w:val="00E4570D"/>
    <w:rsid w:val="00E53341"/>
    <w:rsid w:val="00E54008"/>
    <w:rsid w:val="00E57274"/>
    <w:rsid w:val="00E86AF6"/>
    <w:rsid w:val="00E91776"/>
    <w:rsid w:val="00E945B6"/>
    <w:rsid w:val="00E94BB5"/>
    <w:rsid w:val="00EA3B93"/>
    <w:rsid w:val="00EB2406"/>
    <w:rsid w:val="00EB2414"/>
    <w:rsid w:val="00EB31B7"/>
    <w:rsid w:val="00EB33B4"/>
    <w:rsid w:val="00EB47E9"/>
    <w:rsid w:val="00EB5C3C"/>
    <w:rsid w:val="00EB7C6E"/>
    <w:rsid w:val="00EC30E7"/>
    <w:rsid w:val="00ED2199"/>
    <w:rsid w:val="00ED23C9"/>
    <w:rsid w:val="00ED40FF"/>
    <w:rsid w:val="00ED6E3E"/>
    <w:rsid w:val="00EE2D2C"/>
    <w:rsid w:val="00EE4A5C"/>
    <w:rsid w:val="00EF3F7C"/>
    <w:rsid w:val="00EF49AC"/>
    <w:rsid w:val="00EF5134"/>
    <w:rsid w:val="00EF6DF2"/>
    <w:rsid w:val="00F0236C"/>
    <w:rsid w:val="00F03EF5"/>
    <w:rsid w:val="00F047C1"/>
    <w:rsid w:val="00F12AB3"/>
    <w:rsid w:val="00F177A0"/>
    <w:rsid w:val="00F2629E"/>
    <w:rsid w:val="00F31068"/>
    <w:rsid w:val="00F47436"/>
    <w:rsid w:val="00F47627"/>
    <w:rsid w:val="00F53CE5"/>
    <w:rsid w:val="00F5461C"/>
    <w:rsid w:val="00F55284"/>
    <w:rsid w:val="00F56EF5"/>
    <w:rsid w:val="00F77CDA"/>
    <w:rsid w:val="00F80B3C"/>
    <w:rsid w:val="00F82AD9"/>
    <w:rsid w:val="00F93A84"/>
    <w:rsid w:val="00F94861"/>
    <w:rsid w:val="00F967C6"/>
    <w:rsid w:val="00F97373"/>
    <w:rsid w:val="00FA0731"/>
    <w:rsid w:val="00FA22DD"/>
    <w:rsid w:val="00FA2B2F"/>
    <w:rsid w:val="00FB7CE3"/>
    <w:rsid w:val="00FC04DA"/>
    <w:rsid w:val="00FC0606"/>
    <w:rsid w:val="00FC4220"/>
    <w:rsid w:val="00FC4F2B"/>
    <w:rsid w:val="00FD2D25"/>
    <w:rsid w:val="00FD3B5C"/>
    <w:rsid w:val="00FD5481"/>
    <w:rsid w:val="00FE1E06"/>
    <w:rsid w:val="00FE3662"/>
    <w:rsid w:val="00FE4CDA"/>
    <w:rsid w:val="00FE5324"/>
    <w:rsid w:val="00FE6655"/>
    <w:rsid w:val="00FE67B5"/>
    <w:rsid w:val="00FF0AE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center;mso-height-percent:200;mso-width-relative:margin;mso-height-relative:margin" fillcolor="white">
      <v:fill color="white"/>
      <v:textbox style="mso-fit-shape-to-text:t"/>
    </o:shapedefaults>
    <o:shapelayout v:ext="edit">
      <o:idmap v:ext="edit" data="2"/>
    </o:shapelayout>
  </w:shapeDefaults>
  <w:decimalSymbol w:val=","/>
  <w:listSeparator w:val=";"/>
  <w14:docId w14:val="448B6CA9"/>
  <w15:docId w15:val="{5998EE46-02D2-488F-B8A2-73B4964BC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7CCC"/>
    <w:rPr>
      <w:rFonts w:ascii="Arial" w:hAnsi="Arial" w:cs="Arial"/>
    </w:rPr>
  </w:style>
  <w:style w:type="paragraph" w:styleId="Heading1">
    <w:name w:val="heading 1"/>
    <w:basedOn w:val="Normal"/>
    <w:next w:val="Normal"/>
    <w:qFormat/>
    <w:rsid w:val="008A304D"/>
    <w:pPr>
      <w:pBdr>
        <w:top w:val="single" w:sz="4" w:space="1" w:color="auto"/>
        <w:left w:val="single" w:sz="4" w:space="4" w:color="auto"/>
        <w:bottom w:val="single" w:sz="4" w:space="1" w:color="auto"/>
        <w:right w:val="single" w:sz="4" w:space="4" w:color="auto"/>
      </w:pBdr>
      <w:jc w:val="center"/>
      <w:outlineLvl w:val="0"/>
    </w:pPr>
    <w:rPr>
      <w:b/>
      <w:color w:val="000080"/>
      <w:sz w:val="28"/>
      <w:szCs w:val="28"/>
    </w:rPr>
  </w:style>
  <w:style w:type="paragraph" w:styleId="Heading2">
    <w:name w:val="heading 2"/>
    <w:basedOn w:val="Normal"/>
    <w:next w:val="Normal"/>
    <w:qFormat/>
    <w:rsid w:val="00544369"/>
    <w:pPr>
      <w:outlineLvl w:val="1"/>
    </w:pPr>
    <w:rPr>
      <w:b/>
      <w:color w:val="000080"/>
    </w:rPr>
  </w:style>
  <w:style w:type="paragraph" w:styleId="Heading3">
    <w:name w:val="heading 3"/>
    <w:basedOn w:val="Normal"/>
    <w:next w:val="Normal"/>
    <w:qFormat/>
    <w:rsid w:val="00AA739A"/>
    <w:pPr>
      <w:keepNext/>
      <w:jc w:val="both"/>
      <w:outlineLvl w:val="2"/>
    </w:pPr>
    <w:rPr>
      <w:u w:val="single"/>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Tairis">
    <w:name w:val="Table Tairis"/>
    <w:basedOn w:val="TableNormal"/>
    <w:rsid w:val="00582B79"/>
    <w:pPr>
      <w:jc w:val="center"/>
    </w:pPr>
    <w:rPr>
      <w:rFonts w:ascii="Arial" w:hAnsi="Arial"/>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cPr>
      <w:vAlign w:val="center"/>
    </w:tcPr>
    <w:tblStylePr w:type="firstRow">
      <w:pPr>
        <w:jc w:val="center"/>
      </w:pPr>
      <w:rPr>
        <w:rFonts w:ascii="Arial" w:hAnsi="Arial"/>
        <w:b/>
        <w:color w:val="FFFFFF"/>
        <w:sz w:val="20"/>
      </w:rPr>
      <w:tblPr>
        <w:jc w:val="center"/>
      </w:tblPr>
      <w:trPr>
        <w:jc w:val="center"/>
      </w:trPr>
      <w:tcPr>
        <w:shd w:val="clear" w:color="auto" w:fill="003366"/>
      </w:tcPr>
    </w:tblStylePr>
  </w:style>
  <w:style w:type="paragraph" w:styleId="Header">
    <w:name w:val="header"/>
    <w:basedOn w:val="Normal"/>
    <w:rsid w:val="00CA2263"/>
    <w:pPr>
      <w:tabs>
        <w:tab w:val="center" w:pos="4153"/>
        <w:tab w:val="right" w:pos="8306"/>
      </w:tabs>
    </w:pPr>
  </w:style>
  <w:style w:type="paragraph" w:styleId="Footer">
    <w:name w:val="footer"/>
    <w:basedOn w:val="Normal"/>
    <w:rsid w:val="00775321"/>
    <w:pPr>
      <w:tabs>
        <w:tab w:val="center" w:pos="4153"/>
        <w:tab w:val="right" w:pos="8306"/>
      </w:tabs>
    </w:pPr>
  </w:style>
  <w:style w:type="table" w:styleId="TableGrid">
    <w:name w:val="Table Grid"/>
    <w:basedOn w:val="TableNormal"/>
    <w:rsid w:val="008D0A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946E7A"/>
    <w:rPr>
      <w:rFonts w:ascii="Arial" w:hAnsi="Arial"/>
      <w:dstrike w:val="0"/>
      <w:color w:val="0000FF"/>
      <w:u w:val="single"/>
      <w:vertAlign w:val="baseline"/>
    </w:rPr>
  </w:style>
  <w:style w:type="paragraph" w:styleId="BalloonText">
    <w:name w:val="Balloon Text"/>
    <w:basedOn w:val="Normal"/>
    <w:link w:val="BalloonTextChar"/>
    <w:rsid w:val="00566E7D"/>
    <w:rPr>
      <w:rFonts w:ascii="Tahoma" w:hAnsi="Tahoma" w:cs="Tahoma"/>
      <w:sz w:val="16"/>
      <w:szCs w:val="16"/>
    </w:rPr>
  </w:style>
  <w:style w:type="character" w:customStyle="1" w:styleId="BalloonTextChar">
    <w:name w:val="Balloon Text Char"/>
    <w:basedOn w:val="DefaultParagraphFont"/>
    <w:link w:val="BalloonText"/>
    <w:rsid w:val="00566E7D"/>
    <w:rPr>
      <w:rFonts w:ascii="Tahoma" w:hAnsi="Tahoma" w:cs="Tahoma"/>
      <w:sz w:val="16"/>
      <w:szCs w:val="16"/>
    </w:rPr>
  </w:style>
  <w:style w:type="paragraph" w:styleId="ListParagraph">
    <w:name w:val="List Paragraph"/>
    <w:basedOn w:val="Normal"/>
    <w:uiPriority w:val="34"/>
    <w:qFormat/>
    <w:rsid w:val="00453822"/>
    <w:pPr>
      <w:ind w:left="720"/>
      <w:contextualSpacing/>
    </w:pPr>
  </w:style>
  <w:style w:type="paragraph" w:styleId="Caption">
    <w:name w:val="caption"/>
    <w:basedOn w:val="Normal"/>
    <w:next w:val="Normal"/>
    <w:unhideWhenUsed/>
    <w:qFormat/>
    <w:rsid w:val="00AF78E3"/>
    <w:pPr>
      <w:spacing w:after="200"/>
    </w:pPr>
    <w:rPr>
      <w:b/>
      <w:bCs/>
      <w:color w:val="4F81BD" w:themeColor="accent1"/>
      <w:sz w:val="18"/>
      <w:szCs w:val="18"/>
    </w:rPr>
  </w:style>
  <w:style w:type="character" w:styleId="Strong">
    <w:name w:val="Strong"/>
    <w:basedOn w:val="DefaultParagraphFont"/>
    <w:uiPriority w:val="22"/>
    <w:qFormat/>
    <w:rsid w:val="00152F29"/>
    <w:rPr>
      <w:b/>
      <w:bCs/>
    </w:rPr>
  </w:style>
  <w:style w:type="character" w:styleId="UnresolvedMention">
    <w:name w:val="Unresolved Mention"/>
    <w:basedOn w:val="DefaultParagraphFont"/>
    <w:uiPriority w:val="99"/>
    <w:semiHidden/>
    <w:unhideWhenUsed/>
    <w:rsid w:val="00C66E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738807">
      <w:bodyDiv w:val="1"/>
      <w:marLeft w:val="0"/>
      <w:marRight w:val="0"/>
      <w:marTop w:val="0"/>
      <w:marBottom w:val="0"/>
      <w:divBdr>
        <w:top w:val="none" w:sz="0" w:space="0" w:color="auto"/>
        <w:left w:val="none" w:sz="0" w:space="0" w:color="auto"/>
        <w:bottom w:val="none" w:sz="0" w:space="0" w:color="auto"/>
        <w:right w:val="none" w:sz="0" w:space="0" w:color="auto"/>
      </w:divBdr>
    </w:div>
    <w:div w:id="1037970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c.europa.eu/commission/presscorner/detail/el/qanda_21_6686" TargetMode="External"/><Relationship Id="rId18" Type="http://schemas.openxmlformats.org/officeDocument/2006/relationships/hyperlink" Target="https://www.ecoprorefrigeration.eu/documents.htm"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ec.europa.eu/info/strategy/priorities-2019-2024/european-green-deal_el" TargetMode="External"/><Relationship Id="rId17" Type="http://schemas.openxmlformats.org/officeDocument/2006/relationships/hyperlink" Target="https://ec.europa.eu/info/law/better-regulation/have-your-say/initiatives/12852-Energy-efficiency-and-circular-economy-ecodesign-and-energy-labelling-working-plan-2020-2024_en" TargetMode="External"/><Relationship Id="rId2" Type="http://schemas.openxmlformats.org/officeDocument/2006/relationships/numbering" Target="numbering.xml"/><Relationship Id="rId16" Type="http://schemas.openxmlformats.org/officeDocument/2006/relationships/hyperlink" Target="https://ec.europa.eu/info/law/better-regulation/have-your-say/initiatives/12959-Chemicals-legislation-revision-of-REACH-Regulation-to-help-achieve-a-toxic-free-environment_e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ec.europa.eu/clima/eu-action/fluorinated-greenhouse-gases/eu-legislation-control-f-gases_el"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ec.europa.eu/energy/sites/default/files/proposal-recast-energy-performance-buildings-directive.pdf"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5AA4ED-7C66-4613-A6A6-DD9E7E50A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18164</TotalTime>
  <Pages>5</Pages>
  <Words>2765</Words>
  <Characters>16593</Characters>
  <Application>Microsoft Office Word</Application>
  <DocSecurity>0</DocSecurity>
  <Lines>272</Lines>
  <Paragraphs>102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ΨΥΚΤΙΚΑ ΜΗΧΑΝΗΜΑΤΑ</Company>
  <LinksUpToDate>false</LinksUpToDate>
  <CharactersWithSpaces>19256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Dimitris</dc:creator>
  <cp:lastModifiedBy>Dimitris Tairis</cp:lastModifiedBy>
  <cp:revision>47</cp:revision>
  <cp:lastPrinted>2022-01-10T05:53:00Z</cp:lastPrinted>
  <dcterms:created xsi:type="dcterms:W3CDTF">2023-02-07T19:02:00Z</dcterms:created>
  <dcterms:modified xsi:type="dcterms:W3CDTF">2023-03-15T06:08:00Z</dcterms:modified>
</cp:coreProperties>
</file>